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C9941" w14:textId="77777777" w:rsidR="000F69FB" w:rsidRPr="00262808" w:rsidRDefault="004C57A6" w:rsidP="005233EB">
      <w:pPr>
        <w:ind w:left="0" w:firstLine="0"/>
        <w:rPr>
          <w:b/>
          <w:sz w:val="28"/>
          <w:szCs w:val="28"/>
        </w:rPr>
      </w:pPr>
      <w:r w:rsidRPr="00262808">
        <w:rPr>
          <w:b/>
          <w:sz w:val="28"/>
          <w:szCs w:val="28"/>
        </w:rPr>
        <w:t>Low Pay Commission consultation on National Living and Minimum Wages</w:t>
      </w:r>
    </w:p>
    <w:bookmarkStart w:id="0" w:name="Title" w:displacedByCustomXml="next"/>
    <w:bookmarkEnd w:id="0" w:displacedByCustomXml="next"/>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8FC9942"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8FC9943" w14:textId="77777777" w:rsidR="00795C95" w:rsidRDefault="00BC6C20" w:rsidP="00B84F31">
          <w:pPr>
            <w:ind w:left="0" w:firstLine="0"/>
            <w:rPr>
              <w:rStyle w:val="Title3Char"/>
            </w:rPr>
          </w:pPr>
          <w:r>
            <w:rPr>
              <w:rStyle w:val="Title3Char"/>
            </w:rPr>
            <w:t>For decision.</w:t>
          </w:r>
        </w:p>
      </w:sdtContent>
    </w:sdt>
    <w:sdt>
      <w:sdtPr>
        <w:rPr>
          <w:rStyle w:val="Style6"/>
        </w:rPr>
        <w:id w:val="911819474"/>
        <w:lock w:val="sdtLocked"/>
        <w:placeholder>
          <w:docPart w:val="8E8D39C8ADA945B28543A4203DDCD7D0"/>
        </w:placeholder>
      </w:sdtPr>
      <w:sdtEndPr>
        <w:rPr>
          <w:rStyle w:val="Style6"/>
        </w:rPr>
      </w:sdtEndPr>
      <w:sdtContent>
        <w:p w14:paraId="08FC9944" w14:textId="77777777" w:rsidR="009B6F95" w:rsidRPr="00A627DD" w:rsidRDefault="009B6F95" w:rsidP="00B84F31">
          <w:pPr>
            <w:ind w:left="0" w:firstLine="0"/>
          </w:pPr>
          <w:r w:rsidRPr="00C803F3">
            <w:rPr>
              <w:rStyle w:val="Style6"/>
            </w:rPr>
            <w:t>Summary</w:t>
          </w:r>
        </w:p>
      </w:sdtContent>
    </w:sdt>
    <w:p w14:paraId="08FC9945" w14:textId="77777777" w:rsidR="00E37C8D" w:rsidRPr="009D4A1C" w:rsidRDefault="00BC6C20" w:rsidP="00BC6C20">
      <w:pPr>
        <w:ind w:left="0" w:firstLine="0"/>
        <w:jc w:val="both"/>
        <w:rPr>
          <w:rFonts w:cs="Arial"/>
        </w:rPr>
      </w:pPr>
      <w:r>
        <w:rPr>
          <w:rFonts w:cs="Arial"/>
        </w:rPr>
        <w:t xml:space="preserve">The Low Pay Commission is currently consulting on setting the </w:t>
      </w:r>
      <w:r w:rsidR="004C12AD">
        <w:rPr>
          <w:rFonts w:cs="Arial"/>
        </w:rPr>
        <w:t>level of the</w:t>
      </w:r>
      <w:r w:rsidR="0068677C">
        <w:rPr>
          <w:rFonts w:cs="Arial"/>
        </w:rPr>
        <w:t xml:space="preserve"> </w:t>
      </w:r>
      <w:r>
        <w:rPr>
          <w:rFonts w:cs="Arial"/>
        </w:rPr>
        <w:t>statutory National Minimum Wage</w:t>
      </w:r>
      <w:r w:rsidR="00E37C8D" w:rsidRPr="009D4A1C">
        <w:rPr>
          <w:rFonts w:cs="Arial"/>
        </w:rPr>
        <w:t xml:space="preserve"> </w:t>
      </w:r>
      <w:r>
        <w:rPr>
          <w:rFonts w:cs="Arial"/>
        </w:rPr>
        <w:t>and the National Living Wage for April 2020.  The consultation also seeks views on the approach to be taken after 2020. This report</w:t>
      </w:r>
      <w:r w:rsidR="00E37C8D" w:rsidRPr="009D4A1C">
        <w:rPr>
          <w:rFonts w:cs="Arial"/>
        </w:rPr>
        <w:t xml:space="preserve"> </w:t>
      </w:r>
      <w:r>
        <w:rPr>
          <w:rFonts w:cs="Arial"/>
        </w:rPr>
        <w:t>sets out the LGA’s proposed response to the consultation</w:t>
      </w:r>
      <w:r w:rsidR="005F7D38">
        <w:rPr>
          <w:rFonts w:cs="Arial"/>
        </w:rPr>
        <w:t>.</w:t>
      </w:r>
    </w:p>
    <w:p w14:paraId="08FC9946" w14:textId="77777777" w:rsidR="009B6F95" w:rsidRDefault="00BC6C20"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08FC99BE" wp14:editId="08FC99BF">
                <wp:simplePos x="0" y="0"/>
                <wp:positionH relativeFrom="margin">
                  <wp:posOffset>-2540</wp:posOffset>
                </wp:positionH>
                <wp:positionV relativeFrom="paragraph">
                  <wp:posOffset>93080</wp:posOffset>
                </wp:positionV>
                <wp:extent cx="5705475" cy="1952625"/>
                <wp:effectExtent l="0" t="0" r="9525" b="158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C99D1" w14:textId="77777777" w:rsidR="005233EB" w:rsidRPr="00BC6C20" w:rsidRDefault="005233EB">
                            <w:pPr>
                              <w:rPr>
                                <w:b/>
                              </w:rPr>
                            </w:pPr>
                            <w:r w:rsidRPr="00BC6C20">
                              <w:rPr>
                                <w:b/>
                              </w:rPr>
                              <w:t>Recommendation</w:t>
                            </w:r>
                          </w:p>
                          <w:p w14:paraId="08FC99D2" w14:textId="77777777" w:rsidR="005233EB" w:rsidRDefault="005233EB" w:rsidP="00BC6C20">
                            <w:pPr>
                              <w:ind w:left="0" w:firstLine="0"/>
                              <w:rPr>
                                <w:rFonts w:cs="Arial"/>
                              </w:rPr>
                            </w:pPr>
                            <w:r>
                              <w:rPr>
                                <w:rFonts w:cs="Arial"/>
                              </w:rPr>
                              <w:t>That members of the Resources Board agree the draft response and determine the specific approach that should be taken in response to the questions concerning the future remit of the Low Pay Commission regarding the National Living Wage (NLW) after 2020.</w:t>
                            </w:r>
                          </w:p>
                          <w:p w14:paraId="08FC99D3" w14:textId="77777777" w:rsidR="005233EB" w:rsidRPr="00826011" w:rsidRDefault="005233EB" w:rsidP="00BC6C20">
                            <w:pPr>
                              <w:rPr>
                                <w:rFonts w:cs="Arial"/>
                                <w:b/>
                              </w:rPr>
                            </w:pPr>
                            <w:r w:rsidRPr="00826011">
                              <w:rPr>
                                <w:rFonts w:cs="Arial"/>
                                <w:b/>
                              </w:rPr>
                              <w:t>Action</w:t>
                            </w:r>
                          </w:p>
                          <w:p w14:paraId="08FC99D4" w14:textId="77777777" w:rsidR="005233EB" w:rsidRPr="00826011" w:rsidRDefault="005233EB" w:rsidP="00BC6C20">
                            <w:pPr>
                              <w:rPr>
                                <w:rFonts w:cs="Arial"/>
                              </w:rPr>
                            </w:pPr>
                            <w:r>
                              <w:rPr>
                                <w:rFonts w:cs="Arial"/>
                              </w:rPr>
                              <w:t>Officers to finalise the submission following the comments of members</w:t>
                            </w:r>
                          </w:p>
                          <w:p w14:paraId="08FC99D5" w14:textId="77777777" w:rsidR="005233EB" w:rsidRDefault="00523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B7F6B" id="_x0000_t202" coordsize="21600,21600" o:spt="202" path="m,l,21600r21600,l21600,xe">
                <v:stroke joinstyle="miter"/>
                <v:path gradientshapeok="t" o:connecttype="rect"/>
              </v:shapetype>
              <v:shape id="Text Box 1" o:spid="_x0000_s1026" type="#_x0000_t202" style="position:absolute;left:0;text-align:left;margin-left:-.2pt;margin-top:7.35pt;width:449.25pt;height:1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" fillcolor="white [3201]" strokeweight=".5pt">
                <v:textbox>
                  <w:txbxContent>
                    <w:p w:rsidR="005233EB" w:rsidRPr="00BC6C20" w:rsidRDefault="005233EB">
                      <w:pPr>
                        <w:rPr>
                          <w:b/>
                        </w:rPr>
                      </w:pPr>
                      <w:r w:rsidRPr="00BC6C20">
                        <w:rPr>
                          <w:b/>
                        </w:rPr>
                        <w:t>Recommendation</w:t>
                      </w:r>
                    </w:p>
                    <w:p w:rsidR="005233EB" w:rsidRDefault="005233EB" w:rsidP="00BC6C20">
                      <w:pPr>
                        <w:ind w:left="0" w:firstLine="0"/>
                        <w:rPr>
                          <w:rFonts w:cs="Arial"/>
                        </w:rPr>
                      </w:pPr>
                      <w:r>
                        <w:rPr>
                          <w:rFonts w:cs="Arial"/>
                        </w:rPr>
                        <w:t>That members of the Resources Board agree the draft response and determine the specific approach that should be taken in response to the questions concerning the future remit of the Low Pay Commission regarding the National Living Wage (NLW) after 2020.</w:t>
                      </w:r>
                    </w:p>
                    <w:p w:rsidR="005233EB" w:rsidRPr="00826011" w:rsidRDefault="005233EB" w:rsidP="00BC6C20">
                      <w:pPr>
                        <w:rPr>
                          <w:rFonts w:cs="Arial"/>
                          <w:b/>
                        </w:rPr>
                      </w:pPr>
                      <w:r w:rsidRPr="00826011">
                        <w:rPr>
                          <w:rFonts w:cs="Arial"/>
                          <w:b/>
                        </w:rPr>
                        <w:t>Action</w:t>
                      </w:r>
                    </w:p>
                    <w:p w:rsidR="005233EB" w:rsidRPr="00826011" w:rsidRDefault="005233EB" w:rsidP="00BC6C20">
                      <w:pPr>
                        <w:rPr>
                          <w:rFonts w:cs="Arial"/>
                        </w:rPr>
                      </w:pPr>
                      <w:r>
                        <w:rPr>
                          <w:rFonts w:cs="Arial"/>
                        </w:rPr>
                        <w:t>Officers to finalise the submission following the comments of members</w:t>
                      </w:r>
                    </w:p>
                    <w:p w:rsidR="005233EB" w:rsidRDefault="005233EB"/>
                  </w:txbxContent>
                </v:textbox>
                <w10:wrap anchorx="margin"/>
              </v:shape>
            </w:pict>
          </mc:Fallback>
        </mc:AlternateContent>
      </w:r>
    </w:p>
    <w:p w14:paraId="08FC9947" w14:textId="77777777" w:rsidR="009B6F95" w:rsidRDefault="009B6F95" w:rsidP="00B84F31">
      <w:pPr>
        <w:pStyle w:val="Title3"/>
      </w:pPr>
    </w:p>
    <w:p w14:paraId="08FC9948" w14:textId="77777777" w:rsidR="009B6F95" w:rsidRDefault="009B6F95" w:rsidP="00B84F31">
      <w:pPr>
        <w:pStyle w:val="Title3"/>
      </w:pPr>
    </w:p>
    <w:p w14:paraId="08FC9949" w14:textId="77777777" w:rsidR="009B6F95" w:rsidRDefault="009B6F95" w:rsidP="00B84F31">
      <w:pPr>
        <w:pStyle w:val="Title3"/>
      </w:pPr>
    </w:p>
    <w:p w14:paraId="08FC994A" w14:textId="77777777" w:rsidR="009B6F95" w:rsidRDefault="009B6F95" w:rsidP="00B84F31">
      <w:pPr>
        <w:pStyle w:val="Title3"/>
      </w:pPr>
    </w:p>
    <w:p w14:paraId="08FC994B" w14:textId="77777777" w:rsidR="009B6F95" w:rsidRDefault="009B6F95" w:rsidP="00B84F31">
      <w:pPr>
        <w:pStyle w:val="Title3"/>
      </w:pPr>
    </w:p>
    <w:p w14:paraId="08FC994C" w14:textId="77777777" w:rsidR="009B6F95" w:rsidRDefault="009B6F95" w:rsidP="00B84F31">
      <w:pPr>
        <w:pStyle w:val="Title3"/>
      </w:pPr>
    </w:p>
    <w:p w14:paraId="08FC994D" w14:textId="77777777" w:rsidR="009B6F95" w:rsidRDefault="009B6F95" w:rsidP="00B84F31">
      <w:pPr>
        <w:pStyle w:val="Title3"/>
      </w:pPr>
    </w:p>
    <w:p w14:paraId="08FC994E" w14:textId="77777777" w:rsidR="009B6F95" w:rsidRPr="00E8118A" w:rsidRDefault="009B6F95" w:rsidP="00B84F31">
      <w:pPr>
        <w:pStyle w:val="Title3"/>
      </w:pPr>
    </w:p>
    <w:p w14:paraId="08FC994F" w14:textId="77777777" w:rsidR="00BC6C20" w:rsidRDefault="009B6F95" w:rsidP="00BC6C20">
      <w:pPr>
        <w:rPr>
          <w:rFonts w:cs="Arial"/>
        </w:rPr>
      </w:pPr>
      <w:r w:rsidRPr="00C803F3">
        <w:t xml:space="preserve"> </w:t>
      </w:r>
      <w:r w:rsidR="00BC6C20" w:rsidRPr="00826011">
        <w:rPr>
          <w:rFonts w:cs="Arial"/>
          <w:b/>
        </w:rPr>
        <w:t>Contact officer:</w:t>
      </w:r>
      <w:r w:rsidR="00BC6C20">
        <w:rPr>
          <w:rFonts w:cs="Arial"/>
        </w:rPr>
        <w:tab/>
        <w:t>Naomi Cooke</w:t>
      </w:r>
      <w:r w:rsidR="00BC6C20">
        <w:rPr>
          <w:rFonts w:cs="Arial"/>
        </w:rPr>
        <w:tab/>
      </w:r>
    </w:p>
    <w:p w14:paraId="08FC9950" w14:textId="77777777" w:rsidR="00BC6C20" w:rsidRDefault="00BC6C20" w:rsidP="00BC6C20">
      <w:pPr>
        <w:rPr>
          <w:rFonts w:cs="Arial"/>
        </w:rPr>
      </w:pPr>
      <w:r w:rsidRPr="00826011">
        <w:rPr>
          <w:rFonts w:cs="Arial"/>
          <w:b/>
        </w:rPr>
        <w:t>Position:</w:t>
      </w:r>
      <w:r>
        <w:rPr>
          <w:rFonts w:cs="Arial"/>
        </w:rPr>
        <w:tab/>
      </w:r>
      <w:r>
        <w:rPr>
          <w:rFonts w:cs="Arial"/>
        </w:rPr>
        <w:tab/>
        <w:t>Head of Workforce</w:t>
      </w:r>
    </w:p>
    <w:p w14:paraId="08FC9951" w14:textId="77777777" w:rsidR="00BC6C20" w:rsidRDefault="00BC6C20" w:rsidP="00BC6C20">
      <w:pPr>
        <w:rPr>
          <w:rFonts w:cs="Arial"/>
        </w:rPr>
      </w:pPr>
      <w:r w:rsidRPr="00826011">
        <w:rPr>
          <w:rFonts w:cs="Arial"/>
          <w:b/>
        </w:rPr>
        <w:t>Phone no:</w:t>
      </w:r>
      <w:r>
        <w:rPr>
          <w:rFonts w:cs="Arial"/>
        </w:rPr>
        <w:tab/>
      </w:r>
      <w:r>
        <w:rPr>
          <w:rFonts w:cs="Arial"/>
        </w:rPr>
        <w:tab/>
        <w:t>020 7664 3299</w:t>
      </w:r>
    </w:p>
    <w:p w14:paraId="08FC9952" w14:textId="77777777" w:rsidR="00BC6C20" w:rsidRPr="00F54F92" w:rsidRDefault="00BC6C20" w:rsidP="00BC6C20">
      <w:pPr>
        <w:rPr>
          <w:rFonts w:cs="Arial"/>
        </w:rPr>
      </w:pPr>
      <w:r w:rsidRPr="00826011">
        <w:rPr>
          <w:rFonts w:cs="Arial"/>
          <w:b/>
        </w:rPr>
        <w:t>Email:</w:t>
      </w:r>
      <w:r>
        <w:rPr>
          <w:rFonts w:cs="Arial"/>
        </w:rPr>
        <w:tab/>
      </w:r>
      <w:r>
        <w:rPr>
          <w:rFonts w:cs="Arial"/>
        </w:rPr>
        <w:tab/>
      </w:r>
      <w:r>
        <w:rPr>
          <w:rFonts w:cs="Arial"/>
        </w:rPr>
        <w:tab/>
        <w:t>naomi.cooke@local.gov.uk</w:t>
      </w:r>
    </w:p>
    <w:p w14:paraId="08FC9953" w14:textId="77777777" w:rsidR="009B6F95" w:rsidRPr="00C803F3" w:rsidRDefault="009B6F95" w:rsidP="00B84F31">
      <w:pPr>
        <w:pStyle w:val="Title3"/>
      </w:pPr>
    </w:p>
    <w:p w14:paraId="08FC9954" w14:textId="77777777" w:rsidR="009B6F95" w:rsidRPr="00C803F3" w:rsidRDefault="009B6F95"/>
    <w:p w14:paraId="08FC9955" w14:textId="77777777" w:rsidR="009B6F95" w:rsidRPr="00C803F3" w:rsidRDefault="009B6F95"/>
    <w:p w14:paraId="08FC9956" w14:textId="77777777" w:rsidR="009B6F95" w:rsidRDefault="009B6F95"/>
    <w:p w14:paraId="08FC9957" w14:textId="77777777" w:rsidR="00BC6C20" w:rsidRDefault="00BC6C20"/>
    <w:p w14:paraId="08FC9958" w14:textId="77777777" w:rsidR="00BC6C20" w:rsidRDefault="00BC6C20"/>
    <w:p w14:paraId="08FC9959" w14:textId="77777777" w:rsidR="00BC6C20" w:rsidRDefault="00BC6C20"/>
    <w:p w14:paraId="08FC995A" w14:textId="77777777" w:rsidR="00BC6C20" w:rsidRDefault="00BC6C20"/>
    <w:p w14:paraId="08FC995B" w14:textId="77777777" w:rsidR="00A763D8" w:rsidRPr="00262808" w:rsidRDefault="00A763D8" w:rsidP="005233EB">
      <w:pPr>
        <w:ind w:left="0" w:firstLine="0"/>
        <w:rPr>
          <w:b/>
          <w:sz w:val="28"/>
          <w:szCs w:val="28"/>
        </w:rPr>
      </w:pPr>
      <w:r w:rsidRPr="00262808">
        <w:rPr>
          <w:b/>
          <w:sz w:val="28"/>
          <w:szCs w:val="28"/>
        </w:rPr>
        <w:t>Low Pay Commission consultation on National Living and Minimum Wages</w:t>
      </w:r>
    </w:p>
    <w:p w14:paraId="08FC995C" w14:textId="77777777" w:rsidR="00BC6C20" w:rsidRPr="00935D85" w:rsidRDefault="00BC6C20" w:rsidP="00BC6C20">
      <w:pPr>
        <w:tabs>
          <w:tab w:val="left" w:pos="7291"/>
        </w:tabs>
        <w:ind w:left="1134" w:hanging="1134"/>
        <w:rPr>
          <w:rFonts w:cs="Arial"/>
          <w:b/>
        </w:rPr>
      </w:pPr>
      <w:r w:rsidRPr="00935D85">
        <w:rPr>
          <w:rFonts w:cs="Arial"/>
          <w:b/>
        </w:rPr>
        <w:t>Introduction</w:t>
      </w:r>
    </w:p>
    <w:p w14:paraId="08FC995D" w14:textId="77777777" w:rsidR="00BC6C20" w:rsidRDefault="00BC6C20" w:rsidP="005233EB">
      <w:pPr>
        <w:pStyle w:val="ListParagraph"/>
        <w:numPr>
          <w:ilvl w:val="0"/>
          <w:numId w:val="13"/>
        </w:numPr>
        <w:tabs>
          <w:tab w:val="left" w:pos="7291"/>
        </w:tabs>
        <w:spacing w:after="0" w:line="240" w:lineRule="auto"/>
        <w:ind w:left="284" w:right="1552" w:hanging="284"/>
        <w:rPr>
          <w:rFonts w:cs="Arial"/>
        </w:rPr>
      </w:pPr>
      <w:r>
        <w:rPr>
          <w:rFonts w:cs="Arial"/>
        </w:rPr>
        <w:t>In the initial period following the introduction of the National Minimum Wage (NMW), the LGA/national employers generally did not respond to the Low Pay Commission’s (LPC) consultation on changes to the rates.  This was largely because in the early years of the NMW the minimum local</w:t>
      </w:r>
      <w:r w:rsidR="005233EB">
        <w:rPr>
          <w:rFonts w:cs="Arial"/>
        </w:rPr>
        <w:t xml:space="preserve"> government rates were up to 25 per cent</w:t>
      </w:r>
      <w:r>
        <w:rPr>
          <w:rFonts w:cs="Arial"/>
        </w:rPr>
        <w:t xml:space="preserve"> higher that the statutory minimum.  However the impact of big increases in the NMW and the impact of austerity on local government pay settlements had eroded most of that headroom by 2014. </w:t>
      </w:r>
    </w:p>
    <w:p w14:paraId="08FC995E" w14:textId="77777777" w:rsidR="005233EB" w:rsidRDefault="005233EB" w:rsidP="005233EB">
      <w:pPr>
        <w:pStyle w:val="ListParagraph"/>
        <w:numPr>
          <w:ilvl w:val="0"/>
          <w:numId w:val="0"/>
        </w:numPr>
        <w:tabs>
          <w:tab w:val="left" w:pos="7291"/>
        </w:tabs>
        <w:spacing w:after="0" w:line="240" w:lineRule="auto"/>
        <w:ind w:left="284" w:right="1552"/>
        <w:rPr>
          <w:rFonts w:cs="Arial"/>
        </w:rPr>
      </w:pPr>
    </w:p>
    <w:p w14:paraId="08FC995F" w14:textId="77777777" w:rsidR="005F7D38" w:rsidRDefault="00BC6C20" w:rsidP="005233EB">
      <w:pPr>
        <w:pStyle w:val="ListParagraph"/>
        <w:numPr>
          <w:ilvl w:val="0"/>
          <w:numId w:val="13"/>
        </w:numPr>
        <w:tabs>
          <w:tab w:val="left" w:pos="7291"/>
        </w:tabs>
        <w:spacing w:after="0" w:line="240" w:lineRule="auto"/>
        <w:ind w:left="284" w:right="1552" w:hanging="284"/>
        <w:rPr>
          <w:rFonts w:cs="Arial"/>
        </w:rPr>
      </w:pPr>
      <w:r>
        <w:rPr>
          <w:rFonts w:cs="Arial"/>
        </w:rPr>
        <w:t xml:space="preserve">In 2015 the government announced that from April 2016 it would introduce a new higher statutory minimum for workers aged 25 and above. This was the National Living Wage (NLW). From the outset it was indicated that the NLW </w:t>
      </w:r>
      <w:r w:rsidR="005233EB">
        <w:rPr>
          <w:rFonts w:cs="Arial"/>
        </w:rPr>
        <w:t>would have a target level of 60 per cent</w:t>
      </w:r>
      <w:r>
        <w:rPr>
          <w:rFonts w:cs="Arial"/>
        </w:rPr>
        <w:t xml:space="preserve"> of median hourly earnings by 2020. This new statutory rate caused (and still causes) some confusion as there was already a voluntary living wage published by the Living Wage Foundation (LWF). That rate was higher than the suggested statutory rate and by 2015/16 more than 175 councils in England and Wales had applied the voluntary rate to its workforce and in some cases started to roll it out to the contracted workforce through procurement arrangements. </w:t>
      </w:r>
    </w:p>
    <w:p w14:paraId="08FC9960" w14:textId="77777777" w:rsidR="005233EB" w:rsidRDefault="005233EB" w:rsidP="005233EB">
      <w:pPr>
        <w:pStyle w:val="ListParagraph"/>
        <w:numPr>
          <w:ilvl w:val="0"/>
          <w:numId w:val="0"/>
        </w:numPr>
        <w:tabs>
          <w:tab w:val="left" w:pos="7291"/>
        </w:tabs>
        <w:spacing w:after="0" w:line="240" w:lineRule="auto"/>
        <w:ind w:left="284" w:right="1552"/>
        <w:rPr>
          <w:rFonts w:cs="Arial"/>
        </w:rPr>
      </w:pPr>
    </w:p>
    <w:p w14:paraId="08FC9961" w14:textId="77777777" w:rsidR="00BC6C20" w:rsidRDefault="00BC6C20" w:rsidP="005233EB">
      <w:pPr>
        <w:pStyle w:val="ListParagraph"/>
        <w:numPr>
          <w:ilvl w:val="0"/>
          <w:numId w:val="13"/>
        </w:numPr>
        <w:tabs>
          <w:tab w:val="left" w:pos="7291"/>
        </w:tabs>
        <w:spacing w:after="0" w:line="240" w:lineRule="auto"/>
        <w:ind w:left="284" w:right="1552" w:hanging="284"/>
        <w:rPr>
          <w:rFonts w:cs="Arial"/>
        </w:rPr>
      </w:pPr>
      <w:r>
        <w:rPr>
          <w:rFonts w:cs="Arial"/>
        </w:rPr>
        <w:t>The view of the National Joint Council (NJC) was always that the voluntary living wage was a matter for individual councils and should not be an approach to be taken forward through the NJC, although coincidentally the LWF rate currently mirrors the NJC minimum rate. Note that the current minimum London local government pay spine rates (which are linked to NJC increases) currently exceed the LWF rate for London which is £10.55.</w:t>
      </w:r>
    </w:p>
    <w:p w14:paraId="08FC9962" w14:textId="77777777" w:rsidR="005233EB" w:rsidRDefault="005233EB" w:rsidP="005233EB">
      <w:pPr>
        <w:pStyle w:val="ListParagraph"/>
        <w:numPr>
          <w:ilvl w:val="0"/>
          <w:numId w:val="0"/>
        </w:numPr>
        <w:tabs>
          <w:tab w:val="left" w:pos="7291"/>
        </w:tabs>
        <w:spacing w:after="0" w:line="240" w:lineRule="auto"/>
        <w:ind w:left="284" w:right="1552"/>
        <w:rPr>
          <w:rFonts w:cs="Arial"/>
        </w:rPr>
      </w:pPr>
    </w:p>
    <w:p w14:paraId="08FC9963" w14:textId="77777777" w:rsidR="00BC6C20" w:rsidRPr="008A566E" w:rsidRDefault="00BC6C20" w:rsidP="005233EB">
      <w:pPr>
        <w:pStyle w:val="ListParagraph"/>
        <w:numPr>
          <w:ilvl w:val="0"/>
          <w:numId w:val="13"/>
        </w:numPr>
        <w:tabs>
          <w:tab w:val="left" w:pos="7291"/>
        </w:tabs>
        <w:spacing w:after="0" w:line="240" w:lineRule="auto"/>
        <w:ind w:left="284" w:right="1552" w:hanging="284"/>
        <w:rPr>
          <w:rFonts w:cs="Arial"/>
        </w:rPr>
      </w:pPr>
      <w:r w:rsidRPr="008A566E">
        <w:rPr>
          <w:rFonts w:cs="Arial"/>
        </w:rPr>
        <w:t>The approach the local government sector took on the NLW from 2016 to 2019 is set out in the draft submission</w:t>
      </w:r>
      <w:r>
        <w:rPr>
          <w:rFonts w:cs="Arial"/>
        </w:rPr>
        <w:t xml:space="preserve"> (see question 5)</w:t>
      </w:r>
      <w:r w:rsidRPr="008A566E">
        <w:rPr>
          <w:rFonts w:cs="Arial"/>
        </w:rPr>
        <w:t>.</w:t>
      </w:r>
    </w:p>
    <w:p w14:paraId="08FC9964" w14:textId="77777777" w:rsidR="005233EB" w:rsidRDefault="005233EB" w:rsidP="005233EB">
      <w:pPr>
        <w:pStyle w:val="ListParagraph"/>
        <w:numPr>
          <w:ilvl w:val="0"/>
          <w:numId w:val="0"/>
        </w:numPr>
        <w:tabs>
          <w:tab w:val="left" w:pos="7291"/>
        </w:tabs>
        <w:spacing w:after="0" w:line="240" w:lineRule="auto"/>
        <w:ind w:left="284" w:right="1552"/>
        <w:rPr>
          <w:rFonts w:cs="Arial"/>
        </w:rPr>
      </w:pPr>
    </w:p>
    <w:p w14:paraId="08FC9965" w14:textId="77777777" w:rsidR="005233EB" w:rsidRDefault="00BC6C20" w:rsidP="005233EB">
      <w:pPr>
        <w:pStyle w:val="ListParagraph"/>
        <w:numPr>
          <w:ilvl w:val="0"/>
          <w:numId w:val="13"/>
        </w:numPr>
        <w:tabs>
          <w:tab w:val="left" w:pos="7291"/>
        </w:tabs>
        <w:spacing w:after="0" w:line="240" w:lineRule="auto"/>
        <w:ind w:left="284" w:right="1552" w:hanging="284"/>
        <w:rPr>
          <w:rFonts w:cs="Arial"/>
        </w:rPr>
      </w:pPr>
      <w:r>
        <w:rPr>
          <w:rFonts w:cs="Arial"/>
        </w:rPr>
        <w:t>The key current minimum rates are:</w:t>
      </w:r>
    </w:p>
    <w:p w14:paraId="08FC9966" w14:textId="77777777" w:rsidR="005233EB" w:rsidRPr="005233EB" w:rsidRDefault="005233EB" w:rsidP="005233EB">
      <w:pPr>
        <w:pStyle w:val="ListParagraph"/>
        <w:numPr>
          <w:ilvl w:val="0"/>
          <w:numId w:val="0"/>
        </w:numPr>
        <w:ind w:left="360"/>
        <w:rPr>
          <w:rFonts w:cs="Arial"/>
        </w:rPr>
      </w:pPr>
    </w:p>
    <w:p w14:paraId="08FC9967" w14:textId="77777777" w:rsidR="005233EB" w:rsidRDefault="00BC6C20" w:rsidP="005233EB">
      <w:pPr>
        <w:pStyle w:val="ListParagraph"/>
        <w:numPr>
          <w:ilvl w:val="1"/>
          <w:numId w:val="13"/>
        </w:numPr>
        <w:tabs>
          <w:tab w:val="left" w:pos="7291"/>
        </w:tabs>
        <w:spacing w:after="0" w:line="240" w:lineRule="auto"/>
        <w:ind w:left="709" w:right="1552" w:hanging="425"/>
        <w:rPr>
          <w:rFonts w:cs="Arial"/>
        </w:rPr>
      </w:pPr>
      <w:r w:rsidRPr="005233EB">
        <w:rPr>
          <w:rFonts w:cs="Arial"/>
        </w:rPr>
        <w:t>National Minimum Wage £7.70</w:t>
      </w:r>
      <w:r w:rsidR="005233EB">
        <w:rPr>
          <w:rFonts w:cs="Arial"/>
        </w:rPr>
        <w:t>.</w:t>
      </w:r>
    </w:p>
    <w:p w14:paraId="08FC9968" w14:textId="77777777" w:rsidR="005233EB" w:rsidRDefault="00BC6C20" w:rsidP="005233EB">
      <w:pPr>
        <w:pStyle w:val="ListParagraph"/>
        <w:numPr>
          <w:ilvl w:val="1"/>
          <w:numId w:val="13"/>
        </w:numPr>
        <w:tabs>
          <w:tab w:val="left" w:pos="7291"/>
        </w:tabs>
        <w:spacing w:after="0" w:line="240" w:lineRule="auto"/>
        <w:ind w:left="709" w:right="1552" w:hanging="425"/>
        <w:rPr>
          <w:rFonts w:cs="Arial"/>
        </w:rPr>
      </w:pPr>
      <w:r w:rsidRPr="005233EB">
        <w:rPr>
          <w:rFonts w:cs="Arial"/>
        </w:rPr>
        <w:t>National Living Wage (statutory) £8.21</w:t>
      </w:r>
      <w:r w:rsidR="005233EB">
        <w:rPr>
          <w:rFonts w:cs="Arial"/>
        </w:rPr>
        <w:t>.</w:t>
      </w:r>
    </w:p>
    <w:p w14:paraId="08FC9969" w14:textId="77777777" w:rsidR="005233EB" w:rsidRDefault="00BC6C20" w:rsidP="005233EB">
      <w:pPr>
        <w:pStyle w:val="ListParagraph"/>
        <w:numPr>
          <w:ilvl w:val="1"/>
          <w:numId w:val="13"/>
        </w:numPr>
        <w:tabs>
          <w:tab w:val="left" w:pos="7291"/>
        </w:tabs>
        <w:spacing w:after="0" w:line="240" w:lineRule="auto"/>
        <w:ind w:left="709" w:right="1552" w:hanging="425"/>
        <w:rPr>
          <w:rFonts w:cs="Arial"/>
        </w:rPr>
      </w:pPr>
      <w:r w:rsidRPr="005233EB">
        <w:rPr>
          <w:rFonts w:cs="Arial"/>
        </w:rPr>
        <w:t>Living Wage Foundation (voluntary) £9.00</w:t>
      </w:r>
      <w:r w:rsidR="005233EB">
        <w:rPr>
          <w:rFonts w:cs="Arial"/>
        </w:rPr>
        <w:t>.</w:t>
      </w:r>
    </w:p>
    <w:p w14:paraId="08FC996A" w14:textId="77777777" w:rsidR="00BC6C20" w:rsidRPr="005233EB" w:rsidRDefault="00BC6C20" w:rsidP="005233EB">
      <w:pPr>
        <w:pStyle w:val="ListParagraph"/>
        <w:numPr>
          <w:ilvl w:val="1"/>
          <w:numId w:val="13"/>
        </w:numPr>
        <w:tabs>
          <w:tab w:val="left" w:pos="7291"/>
        </w:tabs>
        <w:spacing w:after="0" w:line="240" w:lineRule="auto"/>
        <w:ind w:left="709" w:right="1552" w:hanging="425"/>
        <w:rPr>
          <w:rFonts w:cs="Arial"/>
        </w:rPr>
      </w:pPr>
      <w:r w:rsidRPr="005233EB">
        <w:rPr>
          <w:rFonts w:cs="Arial"/>
        </w:rPr>
        <w:t>National Joint Council £9.00</w:t>
      </w:r>
    </w:p>
    <w:p w14:paraId="08FC996B" w14:textId="77777777" w:rsidR="005233EB" w:rsidRDefault="005233EB" w:rsidP="005233EB">
      <w:pPr>
        <w:tabs>
          <w:tab w:val="left" w:pos="7291"/>
        </w:tabs>
        <w:spacing w:after="0" w:line="240" w:lineRule="auto"/>
        <w:ind w:left="851" w:right="1554" w:hanging="851"/>
        <w:rPr>
          <w:rFonts w:cs="Arial"/>
          <w:b/>
        </w:rPr>
      </w:pPr>
    </w:p>
    <w:p w14:paraId="08FC996C" w14:textId="77777777" w:rsidR="00BC6C20" w:rsidRDefault="00BC6C20" w:rsidP="005233EB">
      <w:pPr>
        <w:tabs>
          <w:tab w:val="left" w:pos="7291"/>
        </w:tabs>
        <w:spacing w:after="0" w:line="240" w:lineRule="auto"/>
        <w:ind w:left="851" w:right="1554" w:hanging="851"/>
        <w:rPr>
          <w:rFonts w:cs="Arial"/>
          <w:b/>
        </w:rPr>
      </w:pPr>
      <w:r w:rsidRPr="00472E32">
        <w:rPr>
          <w:rFonts w:cs="Arial"/>
          <w:b/>
        </w:rPr>
        <w:t>Summary of issues covered in draft response</w:t>
      </w:r>
    </w:p>
    <w:p w14:paraId="08FC996D" w14:textId="77777777" w:rsidR="005233EB" w:rsidRPr="00472E32" w:rsidRDefault="005233EB" w:rsidP="005233EB">
      <w:pPr>
        <w:tabs>
          <w:tab w:val="left" w:pos="7291"/>
        </w:tabs>
        <w:spacing w:after="0" w:line="240" w:lineRule="auto"/>
        <w:ind w:left="851" w:right="1554" w:hanging="851"/>
        <w:rPr>
          <w:rFonts w:cs="Arial"/>
          <w:b/>
        </w:rPr>
      </w:pPr>
    </w:p>
    <w:p w14:paraId="08FC996E" w14:textId="77777777" w:rsidR="005233EB" w:rsidRDefault="00BC6C20" w:rsidP="005233EB">
      <w:pPr>
        <w:pStyle w:val="ListParagraph"/>
        <w:numPr>
          <w:ilvl w:val="0"/>
          <w:numId w:val="13"/>
        </w:numPr>
        <w:tabs>
          <w:tab w:val="left" w:pos="7291"/>
        </w:tabs>
        <w:spacing w:after="0" w:line="240" w:lineRule="auto"/>
        <w:ind w:left="284" w:right="1552" w:hanging="284"/>
        <w:rPr>
          <w:rFonts w:cs="Arial"/>
        </w:rPr>
      </w:pPr>
      <w:r w:rsidRPr="0044072C">
        <w:rPr>
          <w:rFonts w:cs="Arial"/>
        </w:rPr>
        <w:t>The draft submission (see Appendix) covers the following issues:</w:t>
      </w:r>
    </w:p>
    <w:p w14:paraId="08FC996F" w14:textId="77777777" w:rsidR="005233EB" w:rsidRDefault="00BC6C20" w:rsidP="005233EB">
      <w:pPr>
        <w:pStyle w:val="ListParagraph"/>
        <w:numPr>
          <w:ilvl w:val="1"/>
          <w:numId w:val="13"/>
        </w:numPr>
        <w:tabs>
          <w:tab w:val="left" w:pos="7291"/>
        </w:tabs>
        <w:spacing w:after="0" w:line="240" w:lineRule="auto"/>
        <w:ind w:left="709" w:right="1552" w:hanging="425"/>
        <w:rPr>
          <w:rFonts w:cs="Arial"/>
        </w:rPr>
      </w:pPr>
      <w:r w:rsidRPr="005233EB">
        <w:rPr>
          <w:rFonts w:cs="Arial"/>
        </w:rPr>
        <w:lastRenderedPageBreak/>
        <w:t>The background to the relationship over time between the minimum statutory rates and local government pay rates</w:t>
      </w:r>
      <w:r w:rsidR="005233EB">
        <w:rPr>
          <w:rFonts w:cs="Arial"/>
        </w:rPr>
        <w:t>.</w:t>
      </w:r>
    </w:p>
    <w:p w14:paraId="08FC9970" w14:textId="77777777" w:rsidR="005233EB" w:rsidRDefault="005233EB" w:rsidP="005233EB">
      <w:pPr>
        <w:pStyle w:val="ListParagraph"/>
        <w:numPr>
          <w:ilvl w:val="0"/>
          <w:numId w:val="0"/>
        </w:numPr>
        <w:tabs>
          <w:tab w:val="left" w:pos="7291"/>
        </w:tabs>
        <w:spacing w:after="0" w:line="240" w:lineRule="auto"/>
        <w:ind w:left="709" w:right="1552"/>
        <w:rPr>
          <w:rFonts w:cs="Arial"/>
        </w:rPr>
      </w:pPr>
    </w:p>
    <w:p w14:paraId="08FC9971" w14:textId="77777777" w:rsidR="005233EB" w:rsidRDefault="00BC6C20" w:rsidP="005233EB">
      <w:pPr>
        <w:pStyle w:val="ListParagraph"/>
        <w:numPr>
          <w:ilvl w:val="1"/>
          <w:numId w:val="13"/>
        </w:numPr>
        <w:tabs>
          <w:tab w:val="left" w:pos="7291"/>
        </w:tabs>
        <w:spacing w:after="0" w:line="240" w:lineRule="auto"/>
        <w:ind w:left="709" w:right="1552" w:hanging="425"/>
        <w:rPr>
          <w:rFonts w:cs="Arial"/>
        </w:rPr>
      </w:pPr>
      <w:r w:rsidRPr="005233EB">
        <w:rPr>
          <w:rFonts w:cs="Arial"/>
        </w:rPr>
        <w:t>The approach taken by the sector to meet the challenge of the NLW.</w:t>
      </w:r>
    </w:p>
    <w:p w14:paraId="08FC9972" w14:textId="77777777" w:rsidR="005233EB" w:rsidRPr="005233EB" w:rsidRDefault="005233EB" w:rsidP="005233EB">
      <w:pPr>
        <w:pStyle w:val="ListParagraph"/>
        <w:numPr>
          <w:ilvl w:val="0"/>
          <w:numId w:val="0"/>
        </w:numPr>
        <w:ind w:left="360"/>
        <w:rPr>
          <w:rFonts w:cs="Arial"/>
        </w:rPr>
      </w:pPr>
    </w:p>
    <w:p w14:paraId="08FC9973" w14:textId="77777777" w:rsidR="005233EB" w:rsidRDefault="00BC6C20" w:rsidP="005233EB">
      <w:pPr>
        <w:pStyle w:val="ListParagraph"/>
        <w:numPr>
          <w:ilvl w:val="1"/>
          <w:numId w:val="13"/>
        </w:numPr>
        <w:tabs>
          <w:tab w:val="left" w:pos="7291"/>
        </w:tabs>
        <w:spacing w:after="0" w:line="240" w:lineRule="auto"/>
        <w:ind w:left="709" w:right="1552" w:hanging="425"/>
        <w:rPr>
          <w:rFonts w:cs="Arial"/>
        </w:rPr>
      </w:pPr>
      <w:r w:rsidRPr="005233EB">
        <w:rPr>
          <w:rFonts w:cs="Arial"/>
        </w:rPr>
        <w:t>The impact on the pay bill.</w:t>
      </w:r>
    </w:p>
    <w:p w14:paraId="08FC9974" w14:textId="77777777" w:rsidR="005233EB" w:rsidRDefault="005233EB" w:rsidP="005233EB">
      <w:pPr>
        <w:pStyle w:val="ListParagraph"/>
        <w:numPr>
          <w:ilvl w:val="0"/>
          <w:numId w:val="0"/>
        </w:numPr>
        <w:tabs>
          <w:tab w:val="left" w:pos="7291"/>
        </w:tabs>
        <w:spacing w:after="0" w:line="240" w:lineRule="auto"/>
        <w:ind w:left="709" w:right="1552"/>
        <w:rPr>
          <w:rFonts w:cs="Arial"/>
        </w:rPr>
      </w:pPr>
    </w:p>
    <w:p w14:paraId="08FC9975" w14:textId="77777777" w:rsidR="005233EB" w:rsidRDefault="005233EB" w:rsidP="005233EB">
      <w:pPr>
        <w:pStyle w:val="ListParagraph"/>
        <w:numPr>
          <w:ilvl w:val="1"/>
          <w:numId w:val="13"/>
        </w:numPr>
        <w:tabs>
          <w:tab w:val="left" w:pos="7291"/>
        </w:tabs>
        <w:spacing w:after="0" w:line="240" w:lineRule="auto"/>
        <w:ind w:left="709" w:right="1552" w:hanging="425"/>
        <w:rPr>
          <w:rFonts w:cs="Arial"/>
        </w:rPr>
      </w:pPr>
      <w:r>
        <w:rPr>
          <w:rFonts w:cs="Arial"/>
        </w:rPr>
        <w:t>T</w:t>
      </w:r>
      <w:r w:rsidR="00BC6C20" w:rsidRPr="005233EB">
        <w:rPr>
          <w:rFonts w:cs="Arial"/>
        </w:rPr>
        <w:t>he impact on procuring adult social care services</w:t>
      </w:r>
      <w:r>
        <w:rPr>
          <w:rFonts w:cs="Arial"/>
        </w:rPr>
        <w:t>.</w:t>
      </w:r>
    </w:p>
    <w:p w14:paraId="08FC9976" w14:textId="77777777" w:rsidR="005233EB" w:rsidRDefault="005233EB" w:rsidP="005233EB">
      <w:pPr>
        <w:pStyle w:val="ListParagraph"/>
        <w:numPr>
          <w:ilvl w:val="0"/>
          <w:numId w:val="0"/>
        </w:numPr>
        <w:tabs>
          <w:tab w:val="left" w:pos="7291"/>
        </w:tabs>
        <w:spacing w:after="0" w:line="240" w:lineRule="auto"/>
        <w:ind w:left="709" w:right="1552"/>
        <w:rPr>
          <w:rFonts w:cs="Arial"/>
        </w:rPr>
      </w:pPr>
    </w:p>
    <w:p w14:paraId="08FC9977" w14:textId="77777777" w:rsidR="005233EB" w:rsidRDefault="00BC6C20" w:rsidP="005233EB">
      <w:pPr>
        <w:pStyle w:val="ListParagraph"/>
        <w:numPr>
          <w:ilvl w:val="1"/>
          <w:numId w:val="13"/>
        </w:numPr>
        <w:tabs>
          <w:tab w:val="left" w:pos="7291"/>
        </w:tabs>
        <w:spacing w:after="0" w:line="240" w:lineRule="auto"/>
        <w:ind w:left="709" w:right="1552" w:hanging="425"/>
        <w:rPr>
          <w:rFonts w:cs="Arial"/>
        </w:rPr>
      </w:pPr>
      <w:r w:rsidRPr="005233EB">
        <w:rPr>
          <w:rFonts w:cs="Arial"/>
        </w:rPr>
        <w:t>The existing headroom between minimum local government rates and the NLW which means that the likely 2020 NLW rate can readily be absorbed with few (if any implications) for our pay negotiations</w:t>
      </w:r>
      <w:r w:rsidR="005233EB">
        <w:rPr>
          <w:rFonts w:cs="Arial"/>
        </w:rPr>
        <w:t>.</w:t>
      </w:r>
    </w:p>
    <w:p w14:paraId="08FC9978" w14:textId="77777777" w:rsidR="005233EB" w:rsidRDefault="005233EB" w:rsidP="005233EB">
      <w:pPr>
        <w:pStyle w:val="ListParagraph"/>
        <w:numPr>
          <w:ilvl w:val="0"/>
          <w:numId w:val="0"/>
        </w:numPr>
        <w:tabs>
          <w:tab w:val="left" w:pos="7291"/>
        </w:tabs>
        <w:spacing w:after="0" w:line="240" w:lineRule="auto"/>
        <w:ind w:left="709" w:right="1552"/>
        <w:rPr>
          <w:rFonts w:cs="Arial"/>
        </w:rPr>
      </w:pPr>
    </w:p>
    <w:p w14:paraId="08FC9979" w14:textId="77777777" w:rsidR="00BC6C20" w:rsidRPr="005233EB" w:rsidRDefault="00BC6C20" w:rsidP="005233EB">
      <w:pPr>
        <w:pStyle w:val="ListParagraph"/>
        <w:numPr>
          <w:ilvl w:val="1"/>
          <w:numId w:val="13"/>
        </w:numPr>
        <w:tabs>
          <w:tab w:val="left" w:pos="7291"/>
        </w:tabs>
        <w:spacing w:after="0" w:line="240" w:lineRule="auto"/>
        <w:ind w:left="709" w:right="1552" w:hanging="425"/>
        <w:rPr>
          <w:rFonts w:cs="Arial"/>
        </w:rPr>
      </w:pPr>
      <w:r w:rsidRPr="005233EB">
        <w:rPr>
          <w:rFonts w:cs="Arial"/>
        </w:rPr>
        <w:t>Issues relating to apprenticeships</w:t>
      </w:r>
    </w:p>
    <w:p w14:paraId="08FC997A" w14:textId="77777777" w:rsidR="005233EB" w:rsidRDefault="005233EB" w:rsidP="005233EB">
      <w:pPr>
        <w:pStyle w:val="ListParagraph"/>
        <w:numPr>
          <w:ilvl w:val="0"/>
          <w:numId w:val="0"/>
        </w:numPr>
        <w:tabs>
          <w:tab w:val="left" w:pos="7291"/>
        </w:tabs>
        <w:spacing w:after="0" w:line="240" w:lineRule="auto"/>
        <w:ind w:left="567" w:right="1552"/>
        <w:rPr>
          <w:rFonts w:cs="Arial"/>
        </w:rPr>
      </w:pPr>
    </w:p>
    <w:p w14:paraId="08FC997B" w14:textId="77777777" w:rsidR="00BC6C20" w:rsidRPr="00740A06" w:rsidRDefault="00BC6C20" w:rsidP="005233EB">
      <w:pPr>
        <w:pStyle w:val="ListParagraph"/>
        <w:numPr>
          <w:ilvl w:val="0"/>
          <w:numId w:val="13"/>
        </w:numPr>
        <w:tabs>
          <w:tab w:val="left" w:pos="7291"/>
        </w:tabs>
        <w:spacing w:after="0" w:line="240" w:lineRule="auto"/>
        <w:ind w:left="284" w:right="1554" w:hanging="284"/>
        <w:rPr>
          <w:rFonts w:cs="Arial"/>
        </w:rPr>
      </w:pPr>
      <w:r w:rsidRPr="00740A06">
        <w:rPr>
          <w:rFonts w:cs="Arial"/>
        </w:rPr>
        <w:t xml:space="preserve">Most of our evidence on this is either factual and/or historical and we are not seeking a specific steer from members.  However questions 12 and 13 seek views on the approach to take after 2020 when the NLW has reached its original target of 60% of median hourly earnings.  </w:t>
      </w:r>
      <w:r w:rsidRPr="00740A06">
        <w:rPr>
          <w:rFonts w:cs="Arial"/>
          <w:b/>
        </w:rPr>
        <w:t>It is that part of the submission on which officers would particularly welcome the views of members</w:t>
      </w:r>
      <w:r w:rsidRPr="00740A06">
        <w:rPr>
          <w:rFonts w:cs="Arial"/>
        </w:rPr>
        <w:t>.</w:t>
      </w:r>
      <w:r w:rsidR="00BE4995">
        <w:rPr>
          <w:rFonts w:cs="Arial"/>
        </w:rPr>
        <w:t xml:space="preserve"> The full submission is included as an appendix for information.</w:t>
      </w:r>
    </w:p>
    <w:p w14:paraId="08FC997C" w14:textId="77777777" w:rsidR="005233EB" w:rsidRDefault="005233EB" w:rsidP="005233EB">
      <w:pPr>
        <w:tabs>
          <w:tab w:val="left" w:pos="7291"/>
        </w:tabs>
        <w:spacing w:after="0" w:line="240" w:lineRule="auto"/>
        <w:ind w:left="709" w:right="1554" w:hanging="1134"/>
        <w:rPr>
          <w:rFonts w:cs="Arial"/>
          <w:b/>
        </w:rPr>
      </w:pPr>
    </w:p>
    <w:p w14:paraId="08FC997D" w14:textId="77777777" w:rsidR="00BC6C20" w:rsidRPr="00472E32" w:rsidRDefault="00BC6C20" w:rsidP="005233EB">
      <w:pPr>
        <w:tabs>
          <w:tab w:val="left" w:pos="7291"/>
        </w:tabs>
        <w:spacing w:after="0" w:line="240" w:lineRule="auto"/>
        <w:ind w:left="709" w:right="1554" w:hanging="1134"/>
        <w:rPr>
          <w:rFonts w:cs="Arial"/>
          <w:b/>
        </w:rPr>
      </w:pPr>
      <w:r w:rsidRPr="00472E32">
        <w:rPr>
          <w:rFonts w:cs="Arial"/>
          <w:b/>
        </w:rPr>
        <w:t>The future remit of the Low Pay Commission</w:t>
      </w:r>
    </w:p>
    <w:p w14:paraId="08FC997E" w14:textId="77777777" w:rsidR="005233EB" w:rsidRDefault="005233EB" w:rsidP="005233EB">
      <w:pPr>
        <w:pStyle w:val="ListParagraph"/>
        <w:numPr>
          <w:ilvl w:val="0"/>
          <w:numId w:val="0"/>
        </w:numPr>
        <w:autoSpaceDE w:val="0"/>
        <w:autoSpaceDN w:val="0"/>
        <w:adjustRightInd w:val="0"/>
        <w:spacing w:after="0" w:line="240" w:lineRule="auto"/>
        <w:ind w:left="284" w:right="1552"/>
        <w:jc w:val="both"/>
        <w:rPr>
          <w:rFonts w:cs="Arial"/>
        </w:rPr>
      </w:pPr>
    </w:p>
    <w:p w14:paraId="08FC997F" w14:textId="77777777" w:rsidR="00BC6C20" w:rsidRPr="00740A06" w:rsidRDefault="00BC6C20" w:rsidP="005233EB">
      <w:pPr>
        <w:pStyle w:val="ListParagraph"/>
        <w:numPr>
          <w:ilvl w:val="0"/>
          <w:numId w:val="13"/>
        </w:numPr>
        <w:autoSpaceDE w:val="0"/>
        <w:autoSpaceDN w:val="0"/>
        <w:adjustRightInd w:val="0"/>
        <w:spacing w:after="0" w:line="240" w:lineRule="auto"/>
        <w:ind w:left="284" w:right="1552" w:hanging="284"/>
        <w:jc w:val="both"/>
        <w:rPr>
          <w:rFonts w:cs="Arial"/>
        </w:rPr>
      </w:pPr>
      <w:r w:rsidRPr="00740A06">
        <w:rPr>
          <w:rFonts w:cs="Arial"/>
          <w:lang w:eastAsia="en-GB"/>
        </w:rPr>
        <w:t>In the October 2018 Budget, the Chancellor stated, “</w:t>
      </w:r>
      <w:r w:rsidRPr="00965CB8">
        <w:rPr>
          <w:rFonts w:cs="Arial"/>
          <w:i/>
          <w:lang w:eastAsia="en-GB"/>
        </w:rPr>
        <w:t>Next year we will need to give the LPC a new remit beyond 2020. We will want to be ambitious with the ultimate objective of ending low pay in the UK but we will also want to be careful – protecting employment for lower paid workers. So we will engage responsibly with employers, the TUC, and the LPC itself over the coming months gathering evidence and views to ensure we get this right – and I will confirm the final remit at the Budget next year.”</w:t>
      </w:r>
      <w:r w:rsidRPr="00740A06">
        <w:rPr>
          <w:rFonts w:cs="Arial"/>
          <w:lang w:eastAsia="en-GB"/>
        </w:rPr>
        <w:t xml:space="preserve">  At the same time </w:t>
      </w:r>
      <w:r>
        <w:rPr>
          <w:rFonts w:cs="Arial"/>
          <w:lang w:eastAsia="en-GB"/>
        </w:rPr>
        <w:t>the</w:t>
      </w:r>
      <w:r w:rsidRPr="00740A06">
        <w:rPr>
          <w:rFonts w:cs="Arial"/>
          <w:lang w:eastAsia="en-GB"/>
        </w:rPr>
        <w:t xml:space="preserve"> Treasury noted that the OECD define relative low pay as two-thirds of median earnings.</w:t>
      </w:r>
    </w:p>
    <w:p w14:paraId="08FC9980" w14:textId="77777777" w:rsidR="005233EB" w:rsidRDefault="005233EB" w:rsidP="005233EB">
      <w:pPr>
        <w:pStyle w:val="ListParagraph"/>
        <w:numPr>
          <w:ilvl w:val="0"/>
          <w:numId w:val="0"/>
        </w:numPr>
        <w:tabs>
          <w:tab w:val="left" w:pos="7291"/>
        </w:tabs>
        <w:spacing w:after="0" w:line="240" w:lineRule="auto"/>
        <w:ind w:left="284" w:right="1552"/>
        <w:rPr>
          <w:rFonts w:cs="Arial"/>
        </w:rPr>
      </w:pPr>
    </w:p>
    <w:p w14:paraId="08FC9981" w14:textId="77777777" w:rsidR="00BC6C20" w:rsidRDefault="00BC6C20" w:rsidP="005233EB">
      <w:pPr>
        <w:pStyle w:val="ListParagraph"/>
        <w:numPr>
          <w:ilvl w:val="0"/>
          <w:numId w:val="13"/>
        </w:numPr>
        <w:tabs>
          <w:tab w:val="left" w:pos="7291"/>
        </w:tabs>
        <w:spacing w:after="0" w:line="240" w:lineRule="auto"/>
        <w:ind w:left="284" w:right="1552" w:hanging="284"/>
        <w:rPr>
          <w:rFonts w:cs="Arial"/>
        </w:rPr>
      </w:pPr>
      <w:r>
        <w:rPr>
          <w:rFonts w:cs="Arial"/>
        </w:rPr>
        <w:t>This would seem to be a clear indication that once the NLW has r</w:t>
      </w:r>
      <w:r w:rsidR="005233EB">
        <w:rPr>
          <w:rFonts w:cs="Arial"/>
        </w:rPr>
        <w:t>eached its initial target of 60 per cent</w:t>
      </w:r>
      <w:r>
        <w:rPr>
          <w:rFonts w:cs="Arial"/>
        </w:rPr>
        <w:t xml:space="preserve"> of median </w:t>
      </w:r>
      <w:r w:rsidR="005F7D38">
        <w:rPr>
          <w:rFonts w:cs="Arial"/>
        </w:rPr>
        <w:t xml:space="preserve">hourly </w:t>
      </w:r>
      <w:r>
        <w:rPr>
          <w:rFonts w:cs="Arial"/>
        </w:rPr>
        <w:t>earnings that a new target is be considered. Using the current Office of Budgetary Responsibility</w:t>
      </w:r>
      <w:r w:rsidR="005F7D38">
        <w:rPr>
          <w:rFonts w:cs="Arial"/>
        </w:rPr>
        <w:t xml:space="preserve"> </w:t>
      </w:r>
      <w:r>
        <w:rPr>
          <w:rFonts w:cs="Arial"/>
        </w:rPr>
        <w:t>(OBR) estimates and noting the Treasury reference to two-thirds of media</w:t>
      </w:r>
      <w:r w:rsidR="005233EB">
        <w:rPr>
          <w:rFonts w:cs="Arial"/>
        </w:rPr>
        <w:t>n earning, a new target of 66.6 per cent</w:t>
      </w:r>
      <w:r>
        <w:rPr>
          <w:rFonts w:cs="Arial"/>
        </w:rPr>
        <w:t xml:space="preserve"> of median earning would result in NLW rates as follows:</w:t>
      </w:r>
    </w:p>
    <w:p w14:paraId="08FC9982" w14:textId="77777777" w:rsidR="005233EB" w:rsidRDefault="005233EB" w:rsidP="005233EB">
      <w:pPr>
        <w:pStyle w:val="ListParagraph"/>
        <w:numPr>
          <w:ilvl w:val="0"/>
          <w:numId w:val="0"/>
        </w:numPr>
        <w:spacing w:after="0" w:line="240" w:lineRule="auto"/>
        <w:ind w:left="709" w:right="1552"/>
        <w:rPr>
          <w:rFonts w:cs="Arial"/>
        </w:rPr>
      </w:pPr>
    </w:p>
    <w:p w14:paraId="08FC9983" w14:textId="77777777" w:rsidR="005233EB" w:rsidRDefault="00BC6C20" w:rsidP="005233EB">
      <w:pPr>
        <w:pStyle w:val="ListParagraph"/>
        <w:numPr>
          <w:ilvl w:val="1"/>
          <w:numId w:val="13"/>
        </w:numPr>
        <w:spacing w:after="0" w:line="240" w:lineRule="auto"/>
        <w:ind w:left="709" w:right="1552" w:hanging="425"/>
        <w:rPr>
          <w:rFonts w:cs="Arial"/>
        </w:rPr>
      </w:pPr>
      <w:r w:rsidRPr="005233EB">
        <w:rPr>
          <w:rFonts w:cs="Arial"/>
        </w:rPr>
        <w:t>2021</w:t>
      </w:r>
      <w:r w:rsidR="005233EB">
        <w:rPr>
          <w:rFonts w:cs="Arial"/>
        </w:rPr>
        <w:t xml:space="preserve">: </w:t>
      </w:r>
      <w:r w:rsidRPr="005233EB">
        <w:rPr>
          <w:rFonts w:cs="Arial"/>
        </w:rPr>
        <w:t>£9.79</w:t>
      </w:r>
      <w:r w:rsidR="005233EB">
        <w:rPr>
          <w:rFonts w:cs="Arial"/>
        </w:rPr>
        <w:t>.</w:t>
      </w:r>
    </w:p>
    <w:p w14:paraId="08FC9984" w14:textId="77777777" w:rsidR="005233EB" w:rsidRDefault="005233EB" w:rsidP="005233EB">
      <w:pPr>
        <w:pStyle w:val="ListParagraph"/>
        <w:numPr>
          <w:ilvl w:val="0"/>
          <w:numId w:val="0"/>
        </w:numPr>
        <w:spacing w:after="0" w:line="240" w:lineRule="auto"/>
        <w:ind w:left="709" w:right="1552"/>
        <w:rPr>
          <w:rFonts w:cs="Arial"/>
        </w:rPr>
      </w:pPr>
    </w:p>
    <w:p w14:paraId="08FC9985" w14:textId="77777777" w:rsidR="005233EB" w:rsidRDefault="005233EB" w:rsidP="005233EB">
      <w:pPr>
        <w:pStyle w:val="ListParagraph"/>
        <w:numPr>
          <w:ilvl w:val="1"/>
          <w:numId w:val="13"/>
        </w:numPr>
        <w:spacing w:after="0" w:line="240" w:lineRule="auto"/>
        <w:ind w:left="709" w:right="1552" w:hanging="425"/>
        <w:rPr>
          <w:rFonts w:cs="Arial"/>
        </w:rPr>
      </w:pPr>
      <w:r>
        <w:rPr>
          <w:rFonts w:cs="Arial"/>
        </w:rPr>
        <w:t xml:space="preserve">2022: </w:t>
      </w:r>
      <w:r w:rsidR="00BC6C20" w:rsidRPr="005233EB">
        <w:rPr>
          <w:rFonts w:cs="Arial"/>
        </w:rPr>
        <w:t>£10.10</w:t>
      </w:r>
      <w:r>
        <w:rPr>
          <w:rFonts w:cs="Arial"/>
        </w:rPr>
        <w:t>.</w:t>
      </w:r>
    </w:p>
    <w:p w14:paraId="08FC9986" w14:textId="77777777" w:rsidR="005233EB" w:rsidRDefault="005233EB" w:rsidP="005233EB">
      <w:pPr>
        <w:pStyle w:val="ListParagraph"/>
        <w:numPr>
          <w:ilvl w:val="0"/>
          <w:numId w:val="0"/>
        </w:numPr>
        <w:spacing w:after="0" w:line="240" w:lineRule="auto"/>
        <w:ind w:left="709" w:right="1552"/>
        <w:rPr>
          <w:rFonts w:cs="Arial"/>
        </w:rPr>
      </w:pPr>
    </w:p>
    <w:p w14:paraId="08FC9987" w14:textId="77777777" w:rsidR="00BC6C20" w:rsidRPr="005233EB" w:rsidRDefault="005233EB" w:rsidP="005233EB">
      <w:pPr>
        <w:pStyle w:val="ListParagraph"/>
        <w:numPr>
          <w:ilvl w:val="1"/>
          <w:numId w:val="13"/>
        </w:numPr>
        <w:spacing w:after="0" w:line="240" w:lineRule="auto"/>
        <w:ind w:left="709" w:right="1552" w:hanging="425"/>
        <w:rPr>
          <w:rFonts w:cs="Arial"/>
        </w:rPr>
      </w:pPr>
      <w:r>
        <w:rPr>
          <w:rFonts w:cs="Arial"/>
        </w:rPr>
        <w:t xml:space="preserve">2023: </w:t>
      </w:r>
      <w:r w:rsidR="00BC6C20" w:rsidRPr="005233EB">
        <w:rPr>
          <w:rFonts w:cs="Arial"/>
        </w:rPr>
        <w:t>£10.43</w:t>
      </w:r>
      <w:r>
        <w:rPr>
          <w:rFonts w:cs="Arial"/>
        </w:rPr>
        <w:t>.</w:t>
      </w:r>
    </w:p>
    <w:p w14:paraId="08FC9988" w14:textId="77777777" w:rsidR="005233EB" w:rsidRDefault="005233EB" w:rsidP="005233EB">
      <w:pPr>
        <w:pStyle w:val="ListParagraph"/>
        <w:numPr>
          <w:ilvl w:val="0"/>
          <w:numId w:val="0"/>
        </w:numPr>
        <w:tabs>
          <w:tab w:val="left" w:pos="7291"/>
        </w:tabs>
        <w:spacing w:after="0" w:line="240" w:lineRule="auto"/>
        <w:ind w:left="567" w:right="1552"/>
        <w:rPr>
          <w:rFonts w:cs="Arial"/>
        </w:rPr>
      </w:pPr>
    </w:p>
    <w:p w14:paraId="08FC9989" w14:textId="77777777" w:rsidR="005233EB" w:rsidRDefault="00BC6C20" w:rsidP="005233EB">
      <w:pPr>
        <w:pStyle w:val="ListParagraph"/>
        <w:numPr>
          <w:ilvl w:val="0"/>
          <w:numId w:val="13"/>
        </w:numPr>
        <w:tabs>
          <w:tab w:val="left" w:pos="7291"/>
        </w:tabs>
        <w:spacing w:after="0" w:line="240" w:lineRule="auto"/>
        <w:ind w:left="284" w:right="1552" w:hanging="426"/>
        <w:rPr>
          <w:rFonts w:cs="Arial"/>
        </w:rPr>
      </w:pPr>
      <w:r w:rsidRPr="005233EB">
        <w:rPr>
          <w:rFonts w:cs="Arial"/>
        </w:rPr>
        <w:t xml:space="preserve">It should be noted that at the last General Election: the Labour Party commitment was to a statutory minimum of £10.00 an hour by 2020; the </w:t>
      </w:r>
      <w:r w:rsidRPr="005233EB">
        <w:rPr>
          <w:rFonts w:cs="Arial"/>
        </w:rPr>
        <w:lastRenderedPageBreak/>
        <w:t>Liberal Democrats approach was the commissioning of an independent review to determine how to set a genuine living wage; and the Green Party was committed to a genuine living wage.  What all this indicates is a broad political consensus that the current target for 2020 is unlikely to be the final settled position for any lengthy period of time.</w:t>
      </w:r>
    </w:p>
    <w:p w14:paraId="08FC998A" w14:textId="77777777" w:rsidR="005233EB" w:rsidRDefault="005233EB" w:rsidP="005233EB">
      <w:pPr>
        <w:pStyle w:val="ListParagraph"/>
        <w:numPr>
          <w:ilvl w:val="0"/>
          <w:numId w:val="0"/>
        </w:numPr>
        <w:tabs>
          <w:tab w:val="left" w:pos="7291"/>
        </w:tabs>
        <w:spacing w:after="0" w:line="240" w:lineRule="auto"/>
        <w:ind w:left="284" w:right="1552"/>
        <w:rPr>
          <w:rFonts w:cs="Arial"/>
        </w:rPr>
      </w:pPr>
    </w:p>
    <w:p w14:paraId="08FC998B" w14:textId="77777777" w:rsidR="005233EB" w:rsidRDefault="00BC6C20" w:rsidP="005233EB">
      <w:pPr>
        <w:pStyle w:val="ListParagraph"/>
        <w:numPr>
          <w:ilvl w:val="0"/>
          <w:numId w:val="13"/>
        </w:numPr>
        <w:tabs>
          <w:tab w:val="left" w:pos="7291"/>
        </w:tabs>
        <w:spacing w:after="0" w:line="240" w:lineRule="auto"/>
        <w:ind w:left="284" w:right="1552" w:hanging="426"/>
        <w:rPr>
          <w:rFonts w:cs="Arial"/>
        </w:rPr>
      </w:pPr>
      <w:r w:rsidRPr="005233EB">
        <w:rPr>
          <w:rFonts w:cs="Arial"/>
        </w:rPr>
        <w:t xml:space="preserve">Using the OBR projections and </w:t>
      </w:r>
      <w:r w:rsidRPr="005233EB">
        <w:rPr>
          <w:rFonts w:cs="Arial"/>
          <w:b/>
          <w:u w:val="single"/>
        </w:rPr>
        <w:t>for illustrative purposes only</w:t>
      </w:r>
      <w:r w:rsidRPr="005233EB">
        <w:rPr>
          <w:rFonts w:cs="Arial"/>
        </w:rPr>
        <w:t xml:space="preserve"> assuming that the NJC pay settlements in eac</w:t>
      </w:r>
      <w:r w:rsidR="005233EB">
        <w:rPr>
          <w:rFonts w:cs="Arial"/>
        </w:rPr>
        <w:t>h of 2020, 2021 and 2022 were 2 per cent</w:t>
      </w:r>
      <w:r w:rsidRPr="005233EB">
        <w:rPr>
          <w:rFonts w:cs="Arial"/>
        </w:rPr>
        <w:t>, the bottom four points on the NJC pay spine would be below th</w:t>
      </w:r>
      <w:r w:rsidR="00280766" w:rsidRPr="005233EB">
        <w:rPr>
          <w:rFonts w:cs="Arial"/>
        </w:rPr>
        <w:t>e</w:t>
      </w:r>
      <w:r w:rsidRPr="005233EB">
        <w:rPr>
          <w:rFonts w:cs="Arial"/>
        </w:rPr>
        <w:t xml:space="preserve"> potential new statutory minim</w:t>
      </w:r>
      <w:r w:rsidR="009F3467" w:rsidRPr="005233EB">
        <w:rPr>
          <w:rFonts w:cs="Arial"/>
        </w:rPr>
        <w:t>um</w:t>
      </w:r>
      <w:r w:rsidRPr="005233EB">
        <w:rPr>
          <w:rFonts w:cs="Arial"/>
        </w:rPr>
        <w:t xml:space="preserve"> from 2023. That would cover the bottom 2-3 grades in many councils, where in many cases the reduction of pa</w:t>
      </w:r>
      <w:r w:rsidR="005F7D38" w:rsidRPr="005233EB">
        <w:rPr>
          <w:rFonts w:cs="Arial"/>
        </w:rPr>
        <w:t>y points within lower grades has</w:t>
      </w:r>
      <w:r w:rsidRPr="005233EB">
        <w:rPr>
          <w:rFonts w:cs="Arial"/>
        </w:rPr>
        <w:t xml:space="preserve"> been an inevitable </w:t>
      </w:r>
      <w:r w:rsidR="005F7D38" w:rsidRPr="005233EB">
        <w:rPr>
          <w:rFonts w:cs="Arial"/>
        </w:rPr>
        <w:t>consequence</w:t>
      </w:r>
      <w:r w:rsidRPr="005233EB">
        <w:rPr>
          <w:rFonts w:cs="Arial"/>
        </w:rPr>
        <w:t xml:space="preserve"> of introducing the new pay spine in 2019</w:t>
      </w:r>
      <w:r w:rsidR="00054191" w:rsidRPr="005233EB">
        <w:rPr>
          <w:rFonts w:cs="Arial"/>
        </w:rPr>
        <w:t>, in some cases resulting in spot point salaries rather than multi-point grades</w:t>
      </w:r>
      <w:r w:rsidRPr="005233EB">
        <w:rPr>
          <w:rFonts w:cs="Arial"/>
        </w:rPr>
        <w:t>.</w:t>
      </w:r>
    </w:p>
    <w:p w14:paraId="08FC998C" w14:textId="77777777" w:rsidR="005233EB" w:rsidRPr="005233EB" w:rsidRDefault="005233EB" w:rsidP="005233EB">
      <w:pPr>
        <w:pStyle w:val="ListParagraph"/>
        <w:numPr>
          <w:ilvl w:val="0"/>
          <w:numId w:val="0"/>
        </w:numPr>
        <w:ind w:left="360"/>
        <w:rPr>
          <w:rFonts w:cs="Arial"/>
        </w:rPr>
      </w:pPr>
    </w:p>
    <w:p w14:paraId="08FC998D" w14:textId="77777777" w:rsidR="005233EB" w:rsidRDefault="00BC6C20" w:rsidP="005233EB">
      <w:pPr>
        <w:pStyle w:val="ListParagraph"/>
        <w:numPr>
          <w:ilvl w:val="0"/>
          <w:numId w:val="13"/>
        </w:numPr>
        <w:tabs>
          <w:tab w:val="left" w:pos="7291"/>
        </w:tabs>
        <w:spacing w:after="0" w:line="240" w:lineRule="auto"/>
        <w:ind w:left="284" w:right="1552" w:hanging="426"/>
        <w:rPr>
          <w:rFonts w:cs="Arial"/>
        </w:rPr>
      </w:pPr>
      <w:r w:rsidRPr="005233EB">
        <w:rPr>
          <w:rFonts w:cs="Arial"/>
        </w:rPr>
        <w:t xml:space="preserve">There are too many potential variables for us to get too focused </w:t>
      </w:r>
      <w:r w:rsidR="005F7D38" w:rsidRPr="005233EB">
        <w:rPr>
          <w:rFonts w:cs="Arial"/>
        </w:rPr>
        <w:t xml:space="preserve">at this stage </w:t>
      </w:r>
      <w:r w:rsidRPr="005233EB">
        <w:rPr>
          <w:rFonts w:cs="Arial"/>
        </w:rPr>
        <w:t>on a particular potential future level for the NLW or a particular timescale.  However what is clear is that any significant increase would need several years to plan and manage implementation at a time when many councils have still to make further tweaks to their grading structures in the light of the introduction of the new NJC pay spine.</w:t>
      </w:r>
    </w:p>
    <w:p w14:paraId="08FC998E" w14:textId="77777777" w:rsidR="005233EB" w:rsidRPr="005233EB" w:rsidRDefault="005233EB" w:rsidP="005233EB">
      <w:pPr>
        <w:pStyle w:val="ListParagraph"/>
        <w:numPr>
          <w:ilvl w:val="0"/>
          <w:numId w:val="0"/>
        </w:numPr>
        <w:ind w:left="360"/>
        <w:rPr>
          <w:rFonts w:cs="Arial"/>
        </w:rPr>
      </w:pPr>
    </w:p>
    <w:p w14:paraId="08FC998F" w14:textId="77777777" w:rsidR="005233EB" w:rsidRDefault="00BC6C20" w:rsidP="005233EB">
      <w:pPr>
        <w:pStyle w:val="ListParagraph"/>
        <w:numPr>
          <w:ilvl w:val="0"/>
          <w:numId w:val="13"/>
        </w:numPr>
        <w:tabs>
          <w:tab w:val="left" w:pos="7291"/>
        </w:tabs>
        <w:spacing w:after="0" w:line="240" w:lineRule="auto"/>
        <w:ind w:left="284" w:right="1552" w:hanging="426"/>
        <w:rPr>
          <w:rFonts w:cs="Arial"/>
        </w:rPr>
      </w:pPr>
      <w:r w:rsidRPr="005233EB">
        <w:rPr>
          <w:rFonts w:cs="Arial"/>
        </w:rPr>
        <w:t>The further the NLW gets increased the greater the impact it would have on differentials. One of the successes of the new NJC spine was to deal with historical anomalies in the spine structur</w:t>
      </w:r>
      <w:r w:rsidR="005233EB">
        <w:rPr>
          <w:rFonts w:cs="Arial"/>
        </w:rPr>
        <w:t>e and provide uniform gaps of 2 per cent</w:t>
      </w:r>
      <w:r w:rsidRPr="005233EB">
        <w:rPr>
          <w:rFonts w:cs="Arial"/>
        </w:rPr>
        <w:t xml:space="preserve"> between pay points in the lower half of the spine. Unless all pay points were to get identical increases to those that would be needed at the lower end of the spine the</w:t>
      </w:r>
      <w:r w:rsidR="005F7D38" w:rsidRPr="005233EB">
        <w:rPr>
          <w:rFonts w:cs="Arial"/>
        </w:rPr>
        <w:t xml:space="preserve"> evening-out work would unravel were the</w:t>
      </w:r>
      <w:r w:rsidR="007275C4" w:rsidRPr="005233EB">
        <w:rPr>
          <w:rFonts w:cs="Arial"/>
        </w:rPr>
        <w:t xml:space="preserve">re to be a further significant increase in the </w:t>
      </w:r>
      <w:r w:rsidR="005F7D38" w:rsidRPr="005233EB">
        <w:rPr>
          <w:rFonts w:cs="Arial"/>
        </w:rPr>
        <w:t>NLW</w:t>
      </w:r>
      <w:r w:rsidR="007275C4" w:rsidRPr="005233EB">
        <w:rPr>
          <w:rFonts w:cs="Arial"/>
        </w:rPr>
        <w:t>.</w:t>
      </w:r>
      <w:r w:rsidR="005F7D38" w:rsidRPr="005233EB">
        <w:rPr>
          <w:rFonts w:cs="Arial"/>
        </w:rPr>
        <w:t xml:space="preserve"> </w:t>
      </w:r>
    </w:p>
    <w:p w14:paraId="08FC9990" w14:textId="77777777" w:rsidR="005233EB" w:rsidRPr="005233EB" w:rsidRDefault="005233EB" w:rsidP="005233EB">
      <w:pPr>
        <w:pStyle w:val="ListParagraph"/>
        <w:rPr>
          <w:rFonts w:cs="Arial"/>
        </w:rPr>
      </w:pPr>
    </w:p>
    <w:p w14:paraId="08FC9991" w14:textId="77777777" w:rsidR="005233EB" w:rsidRDefault="00BC6C20" w:rsidP="005233EB">
      <w:pPr>
        <w:pStyle w:val="ListParagraph"/>
        <w:numPr>
          <w:ilvl w:val="0"/>
          <w:numId w:val="13"/>
        </w:numPr>
        <w:tabs>
          <w:tab w:val="left" w:pos="7291"/>
        </w:tabs>
        <w:spacing w:after="0" w:line="240" w:lineRule="auto"/>
        <w:ind w:left="284" w:right="1552" w:hanging="426"/>
        <w:rPr>
          <w:rFonts w:cs="Arial"/>
        </w:rPr>
      </w:pPr>
      <w:r w:rsidRPr="005233EB">
        <w:rPr>
          <w:rFonts w:cs="Arial"/>
        </w:rPr>
        <w:t>The key issue for the sector would be that any future increase (and the associated costs of maintaining differentials</w:t>
      </w:r>
      <w:r w:rsidR="007275C4" w:rsidRPr="005233EB">
        <w:rPr>
          <w:rFonts w:cs="Arial"/>
        </w:rPr>
        <w:t>)</w:t>
      </w:r>
      <w:r w:rsidRPr="005233EB">
        <w:rPr>
          <w:rFonts w:cs="Arial"/>
        </w:rPr>
        <w:t xml:space="preserve"> woul</w:t>
      </w:r>
      <w:r w:rsidR="005F7D38" w:rsidRPr="005233EB">
        <w:rPr>
          <w:rFonts w:cs="Arial"/>
        </w:rPr>
        <w:t>d need to be fully funded by central government.</w:t>
      </w:r>
    </w:p>
    <w:p w14:paraId="08FC9992" w14:textId="77777777" w:rsidR="005233EB" w:rsidRDefault="005233EB" w:rsidP="005233EB">
      <w:pPr>
        <w:tabs>
          <w:tab w:val="left" w:pos="7291"/>
        </w:tabs>
        <w:ind w:right="1552"/>
        <w:rPr>
          <w:rFonts w:cs="Arial"/>
          <w:b/>
        </w:rPr>
      </w:pPr>
    </w:p>
    <w:p w14:paraId="08FC9993" w14:textId="77777777" w:rsidR="005233EB" w:rsidRPr="005233EB" w:rsidRDefault="005233EB" w:rsidP="005233EB">
      <w:pPr>
        <w:tabs>
          <w:tab w:val="left" w:pos="7291"/>
        </w:tabs>
        <w:ind w:right="1552"/>
        <w:rPr>
          <w:rFonts w:cs="Arial"/>
          <w:b/>
        </w:rPr>
      </w:pPr>
      <w:r w:rsidRPr="005233EB">
        <w:rPr>
          <w:rFonts w:cs="Arial"/>
          <w:b/>
        </w:rPr>
        <w:t>The LGA’s response on the post-2020 NLW</w:t>
      </w:r>
    </w:p>
    <w:p w14:paraId="08FC9994" w14:textId="77777777" w:rsidR="005233EB" w:rsidRPr="005233EB" w:rsidRDefault="005233EB" w:rsidP="005233EB">
      <w:pPr>
        <w:tabs>
          <w:tab w:val="left" w:pos="7291"/>
        </w:tabs>
        <w:spacing w:after="0" w:line="240" w:lineRule="auto"/>
        <w:ind w:left="-142" w:right="1552" w:firstLine="0"/>
        <w:rPr>
          <w:rFonts w:cs="Arial"/>
        </w:rPr>
      </w:pPr>
    </w:p>
    <w:p w14:paraId="08FC9995" w14:textId="77777777" w:rsidR="00BC6C20" w:rsidRDefault="00BC6C20" w:rsidP="005233EB">
      <w:pPr>
        <w:pStyle w:val="ListParagraph"/>
        <w:numPr>
          <w:ilvl w:val="0"/>
          <w:numId w:val="13"/>
        </w:numPr>
        <w:tabs>
          <w:tab w:val="left" w:pos="7291"/>
        </w:tabs>
        <w:spacing w:after="0" w:line="240" w:lineRule="auto"/>
        <w:ind w:left="284" w:right="1552" w:hanging="426"/>
        <w:rPr>
          <w:rFonts w:cs="Arial"/>
        </w:rPr>
      </w:pPr>
      <w:r w:rsidRPr="005233EB">
        <w:rPr>
          <w:rFonts w:cs="Arial"/>
        </w:rPr>
        <w:t>The draft response to questions 12 and 13 are set out below</w:t>
      </w:r>
      <w:r w:rsidR="005233EB">
        <w:rPr>
          <w:rFonts w:cs="Arial"/>
        </w:rPr>
        <w:t>:</w:t>
      </w:r>
    </w:p>
    <w:p w14:paraId="08FC9996" w14:textId="77777777" w:rsidR="005233EB" w:rsidRPr="005233EB" w:rsidRDefault="005233EB" w:rsidP="005233EB">
      <w:pPr>
        <w:pStyle w:val="ListParagraph"/>
        <w:numPr>
          <w:ilvl w:val="0"/>
          <w:numId w:val="0"/>
        </w:numPr>
        <w:tabs>
          <w:tab w:val="left" w:pos="7291"/>
        </w:tabs>
        <w:spacing w:after="0" w:line="240" w:lineRule="auto"/>
        <w:ind w:left="284" w:right="1552"/>
        <w:rPr>
          <w:rFonts w:cs="Arial"/>
        </w:rPr>
      </w:pPr>
    </w:p>
    <w:tbl>
      <w:tblPr>
        <w:tblStyle w:val="TableGrid"/>
        <w:tblW w:w="0" w:type="auto"/>
        <w:tblInd w:w="-142" w:type="dxa"/>
        <w:tblLook w:val="04A0" w:firstRow="1" w:lastRow="0" w:firstColumn="1" w:lastColumn="0" w:noHBand="0" w:noVBand="1"/>
      </w:tblPr>
      <w:tblGrid>
        <w:gridCol w:w="9016"/>
      </w:tblGrid>
      <w:tr w:rsidR="005233EB" w14:paraId="08FC999F" w14:textId="77777777" w:rsidTr="005233EB">
        <w:tc>
          <w:tcPr>
            <w:tcW w:w="9016" w:type="dxa"/>
          </w:tcPr>
          <w:p w14:paraId="08FC9997" w14:textId="77777777" w:rsidR="005233EB" w:rsidRDefault="005233EB" w:rsidP="005233EB">
            <w:pPr>
              <w:autoSpaceDE w:val="0"/>
              <w:autoSpaceDN w:val="0"/>
              <w:adjustRightInd w:val="0"/>
              <w:ind w:left="0" w:right="701" w:firstLine="0"/>
              <w:jc w:val="both"/>
              <w:rPr>
                <w:rFonts w:cs="Arial"/>
                <w:b/>
                <w:i/>
                <w:lang w:eastAsia="en-GB"/>
              </w:rPr>
            </w:pPr>
            <w:r>
              <w:rPr>
                <w:rFonts w:cs="Arial"/>
                <w:b/>
                <w:i/>
                <w:lang w:eastAsia="en-GB"/>
              </w:rPr>
              <w:t xml:space="preserve">(Question 12) </w:t>
            </w:r>
            <w:r w:rsidRPr="004E0521">
              <w:rPr>
                <w:rFonts w:cs="Arial"/>
                <w:b/>
                <w:i/>
                <w:lang w:eastAsia="en-GB"/>
              </w:rPr>
              <w:t>Reflecting on your experience of the NLW since its introduction in 2016, what lessons do you think should be learned for the period after 2020?</w:t>
            </w:r>
          </w:p>
          <w:p w14:paraId="08FC9998" w14:textId="77777777" w:rsidR="005233EB" w:rsidRPr="004E0521" w:rsidRDefault="005233EB" w:rsidP="005233EB">
            <w:pPr>
              <w:autoSpaceDE w:val="0"/>
              <w:autoSpaceDN w:val="0"/>
              <w:adjustRightInd w:val="0"/>
              <w:ind w:left="567" w:right="701" w:firstLine="0"/>
              <w:jc w:val="both"/>
              <w:rPr>
                <w:rFonts w:cs="Arial"/>
                <w:b/>
                <w:i/>
                <w:lang w:eastAsia="en-GB"/>
              </w:rPr>
            </w:pPr>
          </w:p>
          <w:p w14:paraId="08FC9999" w14:textId="77777777" w:rsidR="005233EB" w:rsidRPr="004E0521" w:rsidRDefault="005233EB" w:rsidP="005233EB">
            <w:pPr>
              <w:autoSpaceDE w:val="0"/>
              <w:autoSpaceDN w:val="0"/>
              <w:adjustRightInd w:val="0"/>
              <w:ind w:left="0" w:right="701" w:firstLine="0"/>
              <w:jc w:val="both"/>
              <w:rPr>
                <w:rFonts w:cs="Arial"/>
                <w:i/>
              </w:rPr>
            </w:pPr>
            <w:r w:rsidRPr="004E0521">
              <w:rPr>
                <w:rFonts w:cs="Arial"/>
                <w:i/>
              </w:rPr>
              <w:t xml:space="preserve">Were there to be significant change from the current ‘ceiling’ of 60% of median hourly earnings, this would require  a long lead-in as the impact on pay differentials at the lower end of the NJC pay spine would need to be considered and costed. </w:t>
            </w:r>
          </w:p>
          <w:p w14:paraId="08FC999A" w14:textId="77777777" w:rsidR="005233EB" w:rsidRDefault="005233EB" w:rsidP="005233EB">
            <w:pPr>
              <w:autoSpaceDE w:val="0"/>
              <w:autoSpaceDN w:val="0"/>
              <w:adjustRightInd w:val="0"/>
              <w:ind w:left="567" w:right="701" w:firstLine="0"/>
              <w:jc w:val="both"/>
              <w:rPr>
                <w:rFonts w:cs="Arial"/>
                <w:i/>
              </w:rPr>
            </w:pPr>
          </w:p>
          <w:p w14:paraId="08FC999B" w14:textId="77777777" w:rsidR="005233EB" w:rsidRPr="004E0521" w:rsidRDefault="005233EB" w:rsidP="005233EB">
            <w:pPr>
              <w:autoSpaceDE w:val="0"/>
              <w:autoSpaceDN w:val="0"/>
              <w:adjustRightInd w:val="0"/>
              <w:ind w:left="0" w:right="701" w:firstLine="0"/>
              <w:jc w:val="both"/>
              <w:rPr>
                <w:rFonts w:cs="Arial"/>
                <w:i/>
              </w:rPr>
            </w:pPr>
            <w:r w:rsidRPr="004E0521">
              <w:rPr>
                <w:rFonts w:cs="Arial"/>
                <w:i/>
              </w:rPr>
              <w:lastRenderedPageBreak/>
              <w:t xml:space="preserve">In our experience the impact on differentials throughout the pay structure of complex organisations should not be under-estimated.  We would anticipate that this would become a bigger issue </w:t>
            </w:r>
            <w:r>
              <w:rPr>
                <w:rFonts w:cs="Arial"/>
                <w:i/>
              </w:rPr>
              <w:t xml:space="preserve">if further real terms increase in </w:t>
            </w:r>
            <w:r w:rsidRPr="004E0521">
              <w:rPr>
                <w:rFonts w:cs="Arial"/>
                <w:i/>
              </w:rPr>
              <w:t xml:space="preserve">  the NLW </w:t>
            </w:r>
            <w:r>
              <w:rPr>
                <w:rFonts w:cs="Arial"/>
                <w:i/>
              </w:rPr>
              <w:t>are</w:t>
            </w:r>
            <w:r w:rsidRPr="004E0521">
              <w:rPr>
                <w:rFonts w:cs="Arial"/>
                <w:i/>
              </w:rPr>
              <w:t xml:space="preserve"> proposed. </w:t>
            </w:r>
          </w:p>
          <w:p w14:paraId="08FC999C" w14:textId="77777777" w:rsidR="005233EB" w:rsidRDefault="005233EB" w:rsidP="005233EB">
            <w:pPr>
              <w:tabs>
                <w:tab w:val="left" w:pos="7291"/>
              </w:tabs>
              <w:spacing w:line="240" w:lineRule="auto"/>
              <w:ind w:left="0" w:right="1552" w:firstLine="0"/>
              <w:rPr>
                <w:rFonts w:cs="Arial"/>
              </w:rPr>
            </w:pPr>
          </w:p>
          <w:p w14:paraId="08FC999D" w14:textId="77777777" w:rsidR="005233EB" w:rsidRDefault="005233EB" w:rsidP="005233EB">
            <w:pPr>
              <w:tabs>
                <w:tab w:val="left" w:pos="7291"/>
              </w:tabs>
              <w:spacing w:line="240" w:lineRule="auto"/>
              <w:ind w:left="0" w:right="1552" w:firstLine="0"/>
              <w:rPr>
                <w:rFonts w:cs="Arial"/>
              </w:rPr>
            </w:pPr>
          </w:p>
          <w:p w14:paraId="08FC999E" w14:textId="77777777" w:rsidR="005233EB" w:rsidRDefault="005233EB" w:rsidP="005233EB">
            <w:pPr>
              <w:tabs>
                <w:tab w:val="left" w:pos="7291"/>
              </w:tabs>
              <w:spacing w:line="240" w:lineRule="auto"/>
              <w:ind w:left="0" w:right="1552" w:firstLine="0"/>
              <w:rPr>
                <w:rFonts w:cs="Arial"/>
              </w:rPr>
            </w:pPr>
          </w:p>
        </w:tc>
      </w:tr>
      <w:tr w:rsidR="005233EB" w14:paraId="08FC99A6" w14:textId="77777777" w:rsidTr="005233EB">
        <w:tc>
          <w:tcPr>
            <w:tcW w:w="9016" w:type="dxa"/>
          </w:tcPr>
          <w:p w14:paraId="08FC99A0" w14:textId="77777777" w:rsidR="005233EB" w:rsidRDefault="005233EB" w:rsidP="005233EB">
            <w:pPr>
              <w:autoSpaceDE w:val="0"/>
              <w:autoSpaceDN w:val="0"/>
              <w:adjustRightInd w:val="0"/>
              <w:ind w:left="0" w:right="701" w:firstLine="0"/>
              <w:jc w:val="both"/>
              <w:rPr>
                <w:rFonts w:cs="Arial"/>
                <w:b/>
                <w:i/>
                <w:lang w:eastAsia="en-GB"/>
              </w:rPr>
            </w:pPr>
            <w:r>
              <w:rPr>
                <w:rFonts w:cs="Arial"/>
                <w:b/>
                <w:i/>
                <w:lang w:eastAsia="en-GB"/>
              </w:rPr>
              <w:lastRenderedPageBreak/>
              <w:t xml:space="preserve">(Question 13) </w:t>
            </w:r>
            <w:r w:rsidRPr="004E0521">
              <w:rPr>
                <w:rFonts w:cs="Arial"/>
                <w:b/>
                <w:i/>
                <w:lang w:eastAsia="en-GB"/>
              </w:rPr>
              <w:t>Given the Chancellor’s statements in the 2018 budget, what are your views on the future trajectory of the NLW and other NMW rates after 2020? What considerations should inform this?</w:t>
            </w:r>
          </w:p>
          <w:p w14:paraId="08FC99A1" w14:textId="77777777" w:rsidR="005233EB" w:rsidRPr="004E0521" w:rsidRDefault="005233EB" w:rsidP="005233EB">
            <w:pPr>
              <w:autoSpaceDE w:val="0"/>
              <w:autoSpaceDN w:val="0"/>
              <w:adjustRightInd w:val="0"/>
              <w:ind w:left="0" w:right="701" w:firstLine="0"/>
              <w:jc w:val="both"/>
              <w:rPr>
                <w:rFonts w:cs="Arial"/>
                <w:b/>
                <w:i/>
                <w:lang w:eastAsia="en-GB"/>
              </w:rPr>
            </w:pPr>
          </w:p>
          <w:p w14:paraId="08FC99A2" w14:textId="77777777" w:rsidR="005233EB" w:rsidRPr="00781BD1" w:rsidRDefault="005233EB" w:rsidP="005233EB">
            <w:pPr>
              <w:pStyle w:val="CommentText"/>
              <w:ind w:left="0" w:right="701" w:firstLine="0"/>
              <w:jc w:val="both"/>
              <w:rPr>
                <w:rFonts w:cs="Arial"/>
                <w:i/>
                <w:sz w:val="22"/>
                <w:szCs w:val="22"/>
              </w:rPr>
            </w:pPr>
            <w:r w:rsidRPr="00781BD1">
              <w:rPr>
                <w:rFonts w:cs="Arial"/>
                <w:i/>
                <w:sz w:val="22"/>
                <w:szCs w:val="22"/>
              </w:rPr>
              <w:t>There will inevitably be further pressure on local government funding if there is a further significant realignment e.g. an increase from 60% to 66% of median earnings over four years. This would outstrip several of the NJCs bottom pay points. This runs the risk of the NJC (nationally) and councils (locally) having to unpick and adjust the complex work that went into meeting the challenge of the introduction of the NLW. However the bigger issue would still be the need for any further increase (and its impact on differentials) to be treated as a new burden and fully-funded for employers such as local government.</w:t>
            </w:r>
          </w:p>
          <w:p w14:paraId="08FC99A3" w14:textId="77777777" w:rsidR="005233EB" w:rsidRDefault="005233EB" w:rsidP="005233EB">
            <w:pPr>
              <w:pStyle w:val="CommentText"/>
              <w:ind w:left="0" w:right="701" w:firstLine="0"/>
              <w:jc w:val="both"/>
              <w:rPr>
                <w:rFonts w:cs="Arial"/>
                <w:i/>
                <w:sz w:val="22"/>
                <w:szCs w:val="22"/>
              </w:rPr>
            </w:pPr>
          </w:p>
          <w:p w14:paraId="08FC99A4" w14:textId="77777777" w:rsidR="005233EB" w:rsidRPr="00781BD1" w:rsidRDefault="005233EB" w:rsidP="005233EB">
            <w:pPr>
              <w:pStyle w:val="CommentText"/>
              <w:ind w:left="0" w:right="701" w:firstLine="0"/>
              <w:jc w:val="both"/>
              <w:rPr>
                <w:rFonts w:cs="Arial"/>
                <w:i/>
                <w:sz w:val="22"/>
                <w:szCs w:val="22"/>
              </w:rPr>
            </w:pPr>
            <w:r w:rsidRPr="00781BD1">
              <w:rPr>
                <w:rFonts w:cs="Arial"/>
                <w:i/>
                <w:sz w:val="22"/>
                <w:szCs w:val="22"/>
              </w:rPr>
              <w:t>The fact that public sector bodies are also major procurers of services where the NLW is a direct cost should also be taken into account in the funding provided to councils.</w:t>
            </w:r>
          </w:p>
          <w:p w14:paraId="08FC99A5" w14:textId="77777777" w:rsidR="005233EB" w:rsidRDefault="005233EB" w:rsidP="005233EB">
            <w:pPr>
              <w:tabs>
                <w:tab w:val="left" w:pos="7291"/>
              </w:tabs>
              <w:spacing w:line="240" w:lineRule="auto"/>
              <w:ind w:left="0" w:right="1552" w:firstLine="0"/>
              <w:rPr>
                <w:rFonts w:cs="Arial"/>
              </w:rPr>
            </w:pPr>
          </w:p>
        </w:tc>
      </w:tr>
    </w:tbl>
    <w:p w14:paraId="08FC99A7" w14:textId="77777777" w:rsidR="005233EB" w:rsidRDefault="005233EB" w:rsidP="005233EB">
      <w:pPr>
        <w:pStyle w:val="ListParagraph"/>
        <w:numPr>
          <w:ilvl w:val="0"/>
          <w:numId w:val="0"/>
        </w:numPr>
        <w:spacing w:after="0" w:line="240" w:lineRule="auto"/>
        <w:ind w:left="567" w:right="1552" w:hanging="567"/>
        <w:rPr>
          <w:rFonts w:cs="Arial"/>
        </w:rPr>
      </w:pPr>
    </w:p>
    <w:p w14:paraId="08FC99A8" w14:textId="77777777" w:rsidR="00BC6C20" w:rsidRDefault="00BC6C20" w:rsidP="005233EB">
      <w:pPr>
        <w:pStyle w:val="ListParagraph"/>
        <w:numPr>
          <w:ilvl w:val="0"/>
          <w:numId w:val="13"/>
        </w:numPr>
        <w:spacing w:after="0" w:line="240" w:lineRule="auto"/>
        <w:ind w:left="426" w:right="1552" w:hanging="426"/>
        <w:rPr>
          <w:rFonts w:cs="Arial"/>
        </w:rPr>
      </w:pPr>
      <w:r>
        <w:rPr>
          <w:rFonts w:cs="Arial"/>
        </w:rPr>
        <w:t xml:space="preserve">The draft response does not seek to address whether a further increase in the benchmark for the NLW is appropriate.  However, as indicated in paragraphs </w:t>
      </w:r>
      <w:r w:rsidR="005F7D38">
        <w:rPr>
          <w:rFonts w:cs="Arial"/>
        </w:rPr>
        <w:t>8 and 10</w:t>
      </w:r>
      <w:r>
        <w:rPr>
          <w:rFonts w:cs="Arial"/>
        </w:rPr>
        <w:t xml:space="preserve"> there appears to be a broad political consensus on that point. Therefore, it focuses on the implications for national pay structure and the need for both direct funding (to cover lower rates and differentials) and costs relating to procured services. Another point that is stressed is the need for a significant lead-in period to enable the change to be managed. It should be noted that the initial target has been brought in over a four year period.</w:t>
      </w:r>
    </w:p>
    <w:p w14:paraId="08FC99A9" w14:textId="77777777" w:rsidR="00BC6C20" w:rsidRPr="003625AA" w:rsidRDefault="00BC6C20" w:rsidP="005233EB">
      <w:pPr>
        <w:ind w:left="426" w:right="1552" w:hanging="426"/>
        <w:rPr>
          <w:rFonts w:cs="Arial"/>
        </w:rPr>
      </w:pPr>
    </w:p>
    <w:p w14:paraId="08FC99AA" w14:textId="77777777" w:rsidR="005233EB" w:rsidRDefault="00BC6C20" w:rsidP="005233EB">
      <w:pPr>
        <w:pStyle w:val="ListParagraph"/>
        <w:numPr>
          <w:ilvl w:val="0"/>
          <w:numId w:val="13"/>
        </w:numPr>
        <w:spacing w:after="0" w:line="240" w:lineRule="auto"/>
        <w:ind w:left="426" w:right="1552" w:hanging="426"/>
        <w:rPr>
          <w:rFonts w:cs="Arial"/>
        </w:rPr>
      </w:pPr>
      <w:r>
        <w:rPr>
          <w:rFonts w:cs="Arial"/>
        </w:rPr>
        <w:t>Members are asked to consider whether there are any specific changes they would wish to see to the submission on these questions, such as</w:t>
      </w:r>
      <w:r w:rsidR="005233EB">
        <w:rPr>
          <w:rFonts w:cs="Arial"/>
        </w:rPr>
        <w:t>:</w:t>
      </w:r>
    </w:p>
    <w:p w14:paraId="08FC99AB" w14:textId="77777777" w:rsidR="005233EB" w:rsidRPr="005233EB" w:rsidRDefault="005233EB" w:rsidP="005233EB">
      <w:pPr>
        <w:pStyle w:val="ListParagraph"/>
        <w:numPr>
          <w:ilvl w:val="0"/>
          <w:numId w:val="0"/>
        </w:numPr>
        <w:ind w:left="360"/>
        <w:rPr>
          <w:rFonts w:cs="Arial"/>
        </w:rPr>
      </w:pPr>
    </w:p>
    <w:p w14:paraId="08FC99AC" w14:textId="77777777" w:rsidR="005233EB" w:rsidRDefault="00BC6C20" w:rsidP="005233EB">
      <w:pPr>
        <w:pStyle w:val="ListParagraph"/>
        <w:numPr>
          <w:ilvl w:val="1"/>
          <w:numId w:val="13"/>
        </w:numPr>
        <w:spacing w:after="0" w:line="240" w:lineRule="auto"/>
        <w:ind w:left="993" w:right="1552" w:hanging="567"/>
        <w:rPr>
          <w:rFonts w:cs="Arial"/>
        </w:rPr>
      </w:pPr>
      <w:r w:rsidRPr="005233EB">
        <w:rPr>
          <w:rFonts w:cs="Arial"/>
        </w:rPr>
        <w:t>Is there a specific element o</w:t>
      </w:r>
      <w:r w:rsidR="009E0C91" w:rsidRPr="005233EB">
        <w:rPr>
          <w:rFonts w:cs="Arial"/>
        </w:rPr>
        <w:t>n</w:t>
      </w:r>
      <w:r w:rsidRPr="005233EB">
        <w:rPr>
          <w:rFonts w:cs="Arial"/>
        </w:rPr>
        <w:t xml:space="preserve"> funding that should be added?</w:t>
      </w:r>
    </w:p>
    <w:p w14:paraId="08FC99AD" w14:textId="77777777" w:rsidR="005233EB" w:rsidRDefault="005233EB" w:rsidP="005233EB">
      <w:pPr>
        <w:pStyle w:val="ListParagraph"/>
        <w:numPr>
          <w:ilvl w:val="0"/>
          <w:numId w:val="0"/>
        </w:numPr>
        <w:spacing w:after="0" w:line="240" w:lineRule="auto"/>
        <w:ind w:left="993" w:right="1552"/>
        <w:rPr>
          <w:rFonts w:cs="Arial"/>
        </w:rPr>
      </w:pPr>
    </w:p>
    <w:p w14:paraId="08FC99AE" w14:textId="77777777" w:rsidR="00BC6C20" w:rsidRPr="005233EB" w:rsidRDefault="00BC6C20" w:rsidP="005233EB">
      <w:pPr>
        <w:pStyle w:val="ListParagraph"/>
        <w:numPr>
          <w:ilvl w:val="1"/>
          <w:numId w:val="13"/>
        </w:numPr>
        <w:spacing w:after="0" w:line="240" w:lineRule="auto"/>
        <w:ind w:left="993" w:right="1554" w:hanging="567"/>
        <w:rPr>
          <w:rFonts w:cs="Arial"/>
        </w:rPr>
      </w:pPr>
      <w:r w:rsidRPr="005233EB">
        <w:rPr>
          <w:rFonts w:cs="Arial"/>
        </w:rPr>
        <w:t>Would they want to take a firmer position on a specific implementation period?</w:t>
      </w:r>
    </w:p>
    <w:p w14:paraId="08FC99AF" w14:textId="77777777" w:rsidR="005233EB" w:rsidRDefault="005233EB" w:rsidP="005233EB">
      <w:pPr>
        <w:tabs>
          <w:tab w:val="left" w:pos="7291"/>
        </w:tabs>
        <w:spacing w:after="0" w:line="240" w:lineRule="auto"/>
        <w:ind w:left="1134" w:right="1554" w:hanging="1134"/>
        <w:rPr>
          <w:rFonts w:cs="Arial"/>
          <w:b/>
        </w:rPr>
      </w:pPr>
    </w:p>
    <w:p w14:paraId="08FC99B0" w14:textId="77777777" w:rsidR="00BC6C20" w:rsidRPr="00472E32" w:rsidRDefault="00BC6C20" w:rsidP="005233EB">
      <w:pPr>
        <w:tabs>
          <w:tab w:val="left" w:pos="7291"/>
        </w:tabs>
        <w:spacing w:after="0" w:line="240" w:lineRule="auto"/>
        <w:ind w:left="1134" w:right="1554" w:hanging="1134"/>
        <w:rPr>
          <w:rFonts w:cs="Arial"/>
          <w:b/>
        </w:rPr>
      </w:pPr>
      <w:r w:rsidRPr="00472E32">
        <w:rPr>
          <w:rFonts w:cs="Arial"/>
          <w:b/>
        </w:rPr>
        <w:t>Implications for Wales</w:t>
      </w:r>
    </w:p>
    <w:p w14:paraId="08FC99B1" w14:textId="77777777" w:rsidR="00BC6C20" w:rsidRPr="00472E32" w:rsidRDefault="00BC6C20" w:rsidP="005233EB">
      <w:pPr>
        <w:tabs>
          <w:tab w:val="left" w:pos="7291"/>
        </w:tabs>
        <w:spacing w:after="0" w:line="240" w:lineRule="auto"/>
        <w:ind w:left="1134" w:right="1554" w:hanging="1134"/>
        <w:rPr>
          <w:rFonts w:cs="Arial"/>
        </w:rPr>
      </w:pPr>
    </w:p>
    <w:p w14:paraId="08FC99B2" w14:textId="77777777" w:rsidR="00BC6C20" w:rsidRPr="008520FC" w:rsidRDefault="00BC6C20" w:rsidP="00D22E70">
      <w:pPr>
        <w:pStyle w:val="ListParagraph"/>
        <w:numPr>
          <w:ilvl w:val="0"/>
          <w:numId w:val="13"/>
        </w:numPr>
        <w:tabs>
          <w:tab w:val="left" w:pos="7291"/>
        </w:tabs>
        <w:spacing w:after="0" w:line="240" w:lineRule="auto"/>
        <w:ind w:left="426" w:right="1552" w:hanging="426"/>
        <w:rPr>
          <w:rFonts w:cs="Arial"/>
        </w:rPr>
      </w:pPr>
      <w:r w:rsidRPr="008520FC">
        <w:rPr>
          <w:rFonts w:cs="Arial"/>
        </w:rPr>
        <w:t xml:space="preserve">All councils in Wales are covered by NJC pay bargaining and therefore all the changes in the NJC pay framework have applied in Wales.  It should be noted that previous LGA earnings surveys have consistently indicated that a greater proportion of the workforce in Wales is paid at </w:t>
      </w:r>
      <w:r w:rsidRPr="008520FC">
        <w:rPr>
          <w:rFonts w:cs="Arial"/>
        </w:rPr>
        <w:lastRenderedPageBreak/>
        <w:t>the lower end of the pay scale.  Therefore the changes made to meet the NLW typically cost councils in Wales more than the average in England.  Any post-2020 changes to the NLW also would be likely to have a greater cost impact in Wales.</w:t>
      </w:r>
    </w:p>
    <w:p w14:paraId="08FC99B3" w14:textId="77777777" w:rsidR="00D22E70" w:rsidRDefault="00D22E70" w:rsidP="00A572B5">
      <w:pPr>
        <w:tabs>
          <w:tab w:val="left" w:pos="7291"/>
        </w:tabs>
        <w:ind w:left="1134" w:right="1552" w:hanging="1134"/>
        <w:rPr>
          <w:rFonts w:cs="Arial"/>
          <w:b/>
        </w:rPr>
      </w:pPr>
    </w:p>
    <w:p w14:paraId="08FC99B4" w14:textId="77777777" w:rsidR="00D22E70" w:rsidRDefault="00D22E70" w:rsidP="00A572B5">
      <w:pPr>
        <w:tabs>
          <w:tab w:val="left" w:pos="7291"/>
        </w:tabs>
        <w:ind w:left="1134" w:right="1552" w:hanging="1134"/>
        <w:rPr>
          <w:rFonts w:cs="Arial"/>
          <w:b/>
        </w:rPr>
      </w:pPr>
    </w:p>
    <w:p w14:paraId="08FC99B5" w14:textId="77777777" w:rsidR="00BC6C20" w:rsidRPr="00472E32" w:rsidRDefault="00BC6C20" w:rsidP="00D22E70">
      <w:pPr>
        <w:tabs>
          <w:tab w:val="left" w:pos="7291"/>
        </w:tabs>
        <w:spacing w:after="0" w:line="240" w:lineRule="auto"/>
        <w:ind w:left="1134" w:right="1554" w:hanging="1134"/>
        <w:rPr>
          <w:rFonts w:cs="Arial"/>
          <w:b/>
        </w:rPr>
      </w:pPr>
      <w:r w:rsidRPr="00472E32">
        <w:rPr>
          <w:rFonts w:cs="Arial"/>
          <w:b/>
        </w:rPr>
        <w:t>Financial implications</w:t>
      </w:r>
    </w:p>
    <w:p w14:paraId="08FC99B6" w14:textId="77777777" w:rsidR="00BC6C20" w:rsidRDefault="00BC6C20" w:rsidP="00D22E70">
      <w:pPr>
        <w:tabs>
          <w:tab w:val="left" w:pos="7291"/>
        </w:tabs>
        <w:spacing w:after="0" w:line="240" w:lineRule="auto"/>
        <w:ind w:left="1134" w:right="1554"/>
        <w:rPr>
          <w:rFonts w:cs="Arial"/>
        </w:rPr>
      </w:pPr>
    </w:p>
    <w:p w14:paraId="08FC99B7" w14:textId="77777777" w:rsidR="00BC6C20" w:rsidRPr="008520FC" w:rsidRDefault="00BC6C20" w:rsidP="00D22E70">
      <w:pPr>
        <w:pStyle w:val="ListParagraph"/>
        <w:numPr>
          <w:ilvl w:val="0"/>
          <w:numId w:val="13"/>
        </w:numPr>
        <w:tabs>
          <w:tab w:val="left" w:pos="7291"/>
        </w:tabs>
        <w:spacing w:after="0" w:line="240" w:lineRule="auto"/>
        <w:ind w:left="426" w:right="1554" w:hanging="426"/>
        <w:rPr>
          <w:rFonts w:cs="Arial"/>
        </w:rPr>
      </w:pPr>
      <w:r w:rsidRPr="008520FC">
        <w:rPr>
          <w:rFonts w:cs="Arial"/>
        </w:rPr>
        <w:t xml:space="preserve">There are no specific financial implications for the LGA. </w:t>
      </w:r>
    </w:p>
    <w:p w14:paraId="08FC99B8" w14:textId="77777777" w:rsidR="00BC6C20" w:rsidRDefault="00BC6C20" w:rsidP="00D22E70">
      <w:pPr>
        <w:tabs>
          <w:tab w:val="left" w:pos="7291"/>
        </w:tabs>
        <w:spacing w:after="0" w:line="240" w:lineRule="auto"/>
        <w:ind w:left="426" w:right="1554" w:hanging="426"/>
        <w:rPr>
          <w:rFonts w:cs="Arial"/>
        </w:rPr>
      </w:pPr>
    </w:p>
    <w:p w14:paraId="08FC99B9" w14:textId="77777777" w:rsidR="00BC6C20" w:rsidRPr="008520FC" w:rsidRDefault="00BC6C20" w:rsidP="00D22E70">
      <w:pPr>
        <w:pStyle w:val="ListParagraph"/>
        <w:numPr>
          <w:ilvl w:val="0"/>
          <w:numId w:val="13"/>
        </w:numPr>
        <w:tabs>
          <w:tab w:val="left" w:pos="7291"/>
        </w:tabs>
        <w:spacing w:after="0" w:line="240" w:lineRule="auto"/>
        <w:ind w:left="426" w:right="1554" w:hanging="426"/>
        <w:rPr>
          <w:rFonts w:cs="Arial"/>
        </w:rPr>
      </w:pPr>
      <w:r w:rsidRPr="008520FC">
        <w:rPr>
          <w:rFonts w:cs="Arial"/>
        </w:rPr>
        <w:t>Local government spends a significant proportion of its resources on pay.  The Local Government Services pay bill for England and Wales is approximately £20 billion. Over the period 2016-2019 the two pay deals to meet the challenge of the NLW added approximately 2.25</w:t>
      </w:r>
      <w:r w:rsidR="00D22E70">
        <w:rPr>
          <w:rFonts w:cs="Arial"/>
        </w:rPr>
        <w:t xml:space="preserve"> per cent </w:t>
      </w:r>
      <w:r w:rsidRPr="008520FC">
        <w:rPr>
          <w:rFonts w:cs="Arial"/>
        </w:rPr>
        <w:t xml:space="preserve">to the pay bill in terms of bottom-loading and re-configuration of the spine </w:t>
      </w:r>
      <w:r w:rsidRPr="008520FC">
        <w:rPr>
          <w:rFonts w:cs="Arial"/>
          <w:u w:val="single"/>
        </w:rPr>
        <w:t>in addition to</w:t>
      </w:r>
      <w:r w:rsidR="00D22E70">
        <w:rPr>
          <w:rFonts w:cs="Arial"/>
        </w:rPr>
        <w:t xml:space="preserve"> the cumulative 6.1 per cent</w:t>
      </w:r>
      <w:r w:rsidRPr="008520FC">
        <w:rPr>
          <w:rFonts w:cs="Arial"/>
        </w:rPr>
        <w:t xml:space="preserve"> impact of the headline rate increases over the </w:t>
      </w:r>
      <w:r w:rsidR="00D22E70">
        <w:rPr>
          <w:rFonts w:cs="Arial"/>
        </w:rPr>
        <w:t>four</w:t>
      </w:r>
      <w:r w:rsidRPr="008520FC">
        <w:rPr>
          <w:rFonts w:cs="Arial"/>
        </w:rPr>
        <w:t xml:space="preserve"> year period. Any further significant increase in the NLW beyond 2020 could have implications for direct costs (noting the current headroom in the NJC rates)</w:t>
      </w:r>
      <w:r>
        <w:rPr>
          <w:rFonts w:cs="Arial"/>
        </w:rPr>
        <w:t>,</w:t>
      </w:r>
      <w:r w:rsidRPr="008520FC">
        <w:rPr>
          <w:rFonts w:cs="Arial"/>
        </w:rPr>
        <w:t xml:space="preserve"> further costs relating to t</w:t>
      </w:r>
      <w:r>
        <w:rPr>
          <w:rFonts w:cs="Arial"/>
        </w:rPr>
        <w:t>he maintenance of differentials and the cost of procured services such as those in adult social care.</w:t>
      </w:r>
    </w:p>
    <w:p w14:paraId="08FC99BA" w14:textId="77777777" w:rsidR="00BC6C20" w:rsidRDefault="00BC6C20"/>
    <w:p w14:paraId="08FC99BB" w14:textId="77777777" w:rsidR="00BC6C20" w:rsidRDefault="00BC6C20"/>
    <w:p w14:paraId="08FC99BC" w14:textId="77777777" w:rsidR="00BC6C20" w:rsidRDefault="00BC6C20"/>
    <w:p w14:paraId="08FC99BD" w14:textId="77777777" w:rsidR="00BC6C20" w:rsidRPr="00C803F3" w:rsidRDefault="00BC6C20"/>
    <w:sectPr w:rsidR="00BC6C20" w:rsidRPr="00C803F3" w:rsidSect="0037412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C0CAA" w16cid:durableId="207680F5"/>
  <w16cid:commentId w16cid:paraId="0B59615A" w16cid:durableId="2076811F"/>
  <w16cid:commentId w16cid:paraId="7A726FAD" w16cid:durableId="207682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C99C2" w14:textId="77777777" w:rsidR="005233EB" w:rsidRPr="00C803F3" w:rsidRDefault="005233EB" w:rsidP="00C803F3">
      <w:r>
        <w:separator/>
      </w:r>
    </w:p>
  </w:endnote>
  <w:endnote w:type="continuationSeparator" w:id="0">
    <w:p w14:paraId="08FC99C3" w14:textId="77777777" w:rsidR="005233EB" w:rsidRPr="00C803F3" w:rsidRDefault="005233E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8567A" w14:textId="77777777" w:rsidR="004776F9" w:rsidRDefault="00477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0834" w14:textId="77777777" w:rsidR="004776F9" w:rsidRDefault="00477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7A17" w14:textId="77777777" w:rsidR="004776F9" w:rsidRDefault="00477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C99C0" w14:textId="77777777" w:rsidR="005233EB" w:rsidRPr="00C803F3" w:rsidRDefault="005233EB" w:rsidP="00C803F3">
      <w:r>
        <w:separator/>
      </w:r>
    </w:p>
  </w:footnote>
  <w:footnote w:type="continuationSeparator" w:id="0">
    <w:p w14:paraId="08FC99C1" w14:textId="77777777" w:rsidR="005233EB" w:rsidRPr="00C803F3" w:rsidRDefault="005233E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E0131" w14:textId="77777777" w:rsidR="004776F9" w:rsidRDefault="00477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C99C4" w14:textId="77777777" w:rsidR="005233EB" w:rsidRDefault="005233E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233EB" w:rsidRPr="00C25CA7" w14:paraId="08FC99C7" w14:textId="77777777" w:rsidTr="000F69FB">
      <w:trPr>
        <w:trHeight w:val="416"/>
      </w:trPr>
      <w:tc>
        <w:tcPr>
          <w:tcW w:w="5812" w:type="dxa"/>
          <w:vMerge w:val="restart"/>
        </w:tcPr>
        <w:p w14:paraId="682AF049" w14:textId="77777777" w:rsidR="005233EB" w:rsidRDefault="005233EB" w:rsidP="00C803F3">
          <w:r w:rsidRPr="00C803F3">
            <w:rPr>
              <w:noProof/>
              <w:lang w:eastAsia="en-GB"/>
            </w:rPr>
            <w:drawing>
              <wp:inline distT="0" distB="0" distL="0" distR="0" wp14:anchorId="08FC99CF" wp14:editId="08FC99D0">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p w14:paraId="08FC99C5" w14:textId="52511FF9" w:rsidR="004776F9" w:rsidRPr="00C803F3" w:rsidRDefault="004776F9" w:rsidP="00C803F3">
          <w:r>
            <w:t xml:space="preserve">Company Number </w:t>
          </w:r>
          <w:r>
            <w:t>11177145</w:t>
          </w:r>
          <w:bookmarkStart w:id="1" w:name="_GoBack"/>
          <w:bookmarkEnd w:id="1"/>
        </w:p>
      </w:tc>
      <w:sdt>
        <w:sdtPr>
          <w:alias w:val="Board"/>
          <w:tag w:val="Board"/>
          <w:id w:val="416908834"/>
          <w:placeholder>
            <w:docPart w:val="E82C81CF1FFA4ABEBE434B5B73B7C3E5"/>
          </w:placeholder>
        </w:sdtPr>
        <w:sdtEndPr/>
        <w:sdtContent>
          <w:tc>
            <w:tcPr>
              <w:tcW w:w="4106" w:type="dxa"/>
            </w:tcPr>
            <w:p w14:paraId="08FC99C6" w14:textId="77777777" w:rsidR="005233EB" w:rsidRPr="00C803F3" w:rsidRDefault="005233EB" w:rsidP="00524BC7">
              <w:pPr>
                <w:pStyle w:val="Header"/>
                <w:ind w:left="0" w:firstLine="0"/>
              </w:pPr>
              <w:r w:rsidRPr="00524BC7">
                <w:rPr>
                  <w:b/>
                </w:rPr>
                <w:t>Resources Board</w:t>
              </w:r>
            </w:p>
          </w:tc>
        </w:sdtContent>
      </w:sdt>
    </w:tr>
    <w:tr w:rsidR="005233EB" w14:paraId="08FC99CA" w14:textId="77777777" w:rsidTr="000F69FB">
      <w:trPr>
        <w:trHeight w:val="406"/>
      </w:trPr>
      <w:tc>
        <w:tcPr>
          <w:tcW w:w="5812" w:type="dxa"/>
          <w:vMerge/>
        </w:tcPr>
        <w:p w14:paraId="08FC99C8" w14:textId="77777777" w:rsidR="005233EB" w:rsidRPr="00A627DD" w:rsidRDefault="005233EB" w:rsidP="00C803F3"/>
      </w:tc>
      <w:tc>
        <w:tcPr>
          <w:tcW w:w="4106" w:type="dxa"/>
        </w:tcPr>
        <w:sdt>
          <w:sdtPr>
            <w:alias w:val="Date"/>
            <w:tag w:val="Date"/>
            <w:id w:val="-488943452"/>
            <w:placeholder>
              <w:docPart w:val="DC36D9B85A214F14AB68618A90760C36"/>
            </w:placeholder>
            <w:date w:fullDate="2019-05-13T00:00:00Z">
              <w:dateFormat w:val="dd MMMM yyyy"/>
              <w:lid w:val="en-GB"/>
              <w:storeMappedDataAs w:val="dateTime"/>
              <w:calendar w:val="gregorian"/>
            </w:date>
          </w:sdtPr>
          <w:sdtEndPr/>
          <w:sdtContent>
            <w:p w14:paraId="08FC99C9" w14:textId="77777777" w:rsidR="005233EB" w:rsidRPr="00C803F3" w:rsidRDefault="005233EB" w:rsidP="00524BC7">
              <w:r>
                <w:t>13 May 2019</w:t>
              </w:r>
            </w:p>
          </w:sdtContent>
        </w:sdt>
      </w:tc>
    </w:tr>
    <w:tr w:rsidR="005233EB" w:rsidRPr="00C25CA7" w14:paraId="08FC99CD" w14:textId="77777777" w:rsidTr="000F69FB">
      <w:trPr>
        <w:trHeight w:val="89"/>
      </w:trPr>
      <w:tc>
        <w:tcPr>
          <w:tcW w:w="5812" w:type="dxa"/>
          <w:vMerge/>
        </w:tcPr>
        <w:p w14:paraId="08FC99CB" w14:textId="77777777" w:rsidR="005233EB" w:rsidRPr="00A627DD" w:rsidRDefault="005233EB" w:rsidP="00C803F3"/>
      </w:tc>
      <w:tc>
        <w:tcPr>
          <w:tcW w:w="4106" w:type="dxa"/>
        </w:tcPr>
        <w:sdt>
          <w:sdtPr>
            <w:alias w:val="Item no."/>
            <w:tag w:val="Item no."/>
            <w:id w:val="-624237752"/>
            <w:placeholder>
              <w:docPart w:val="E82C81CF1FFA4ABEBE434B5B73B7C3E5"/>
            </w:placeholder>
          </w:sdtPr>
          <w:sdtEndPr/>
          <w:sdtContent>
            <w:p w14:paraId="08FC99CC" w14:textId="77777777" w:rsidR="005233EB" w:rsidRPr="00C803F3" w:rsidRDefault="005233EB" w:rsidP="00E37C8D">
              <w:r>
                <w:t xml:space="preserve">  </w:t>
              </w:r>
            </w:p>
          </w:sdtContent>
        </w:sdt>
      </w:tc>
    </w:tr>
  </w:tbl>
  <w:p w14:paraId="08FC99CE" w14:textId="77777777" w:rsidR="005233EB" w:rsidRDefault="00523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42DDD" w14:textId="77777777" w:rsidR="004776F9" w:rsidRDefault="00477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2EB3"/>
    <w:multiLevelType w:val="hybridMultilevel"/>
    <w:tmpl w:val="9CCCD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A5474D"/>
    <w:multiLevelType w:val="hybridMultilevel"/>
    <w:tmpl w:val="2FEE0E6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 w15:restartNumberingAfterBreak="0">
    <w:nsid w:val="2C892FCB"/>
    <w:multiLevelType w:val="multilevel"/>
    <w:tmpl w:val="58621598"/>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 w15:restartNumberingAfterBreak="0">
    <w:nsid w:val="34CA76CF"/>
    <w:multiLevelType w:val="hybridMultilevel"/>
    <w:tmpl w:val="7234B0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47A00ECD"/>
    <w:multiLevelType w:val="hybridMultilevel"/>
    <w:tmpl w:val="F45C173C"/>
    <w:lvl w:ilvl="0" w:tplc="F668B1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BC29A7"/>
    <w:multiLevelType w:val="hybridMultilevel"/>
    <w:tmpl w:val="6A4427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49CA1A9A"/>
    <w:multiLevelType w:val="hybridMultilevel"/>
    <w:tmpl w:val="580C31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4A264DD6"/>
    <w:multiLevelType w:val="hybridMultilevel"/>
    <w:tmpl w:val="D84A15CC"/>
    <w:lvl w:ilvl="0" w:tplc="A4F4AD1A">
      <w:start w:val="1"/>
      <w:numFmt w:val="decimal"/>
      <w:lvlText w:val="%1."/>
      <w:lvlJc w:val="left"/>
      <w:pPr>
        <w:ind w:left="1080" w:hanging="360"/>
      </w:pPr>
      <w:rPr>
        <w:rFonts w:ascii="Calibri" w:hAnsi="Calibri" w:cs="Times New Roman" w:hint="default"/>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4F646755"/>
    <w:multiLevelType w:val="hybridMultilevel"/>
    <w:tmpl w:val="4C3883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4067FD"/>
    <w:multiLevelType w:val="hybridMultilevel"/>
    <w:tmpl w:val="279AA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2C77E1"/>
    <w:multiLevelType w:val="hybridMultilevel"/>
    <w:tmpl w:val="54A22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DE2E80"/>
    <w:multiLevelType w:val="hybridMultilevel"/>
    <w:tmpl w:val="31FC11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num>
  <w:num w:numId="11">
    <w:abstractNumId w:val="14"/>
  </w:num>
  <w:num w:numId="12">
    <w:abstractNumId w:val="8"/>
  </w:num>
  <w:num w:numId="13">
    <w:abstractNumId w:val="5"/>
  </w:num>
  <w:num w:numId="14">
    <w:abstractNumId w:val="12"/>
  </w:num>
  <w:num w:numId="15">
    <w:abstractNumId w:val="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7F30"/>
    <w:rsid w:val="000126A8"/>
    <w:rsid w:val="00014225"/>
    <w:rsid w:val="00016097"/>
    <w:rsid w:val="00047EE7"/>
    <w:rsid w:val="00054191"/>
    <w:rsid w:val="00085EBF"/>
    <w:rsid w:val="000958FC"/>
    <w:rsid w:val="000E0419"/>
    <w:rsid w:val="000F3959"/>
    <w:rsid w:val="000F69FB"/>
    <w:rsid w:val="00115FF4"/>
    <w:rsid w:val="00134A1B"/>
    <w:rsid w:val="001836EE"/>
    <w:rsid w:val="001B255F"/>
    <w:rsid w:val="001B36CE"/>
    <w:rsid w:val="002539E9"/>
    <w:rsid w:val="00262808"/>
    <w:rsid w:val="00280766"/>
    <w:rsid w:val="002865BF"/>
    <w:rsid w:val="002C7927"/>
    <w:rsid w:val="00301A51"/>
    <w:rsid w:val="003625AA"/>
    <w:rsid w:val="0037412D"/>
    <w:rsid w:val="0039414F"/>
    <w:rsid w:val="003D78F7"/>
    <w:rsid w:val="004566CB"/>
    <w:rsid w:val="004776F9"/>
    <w:rsid w:val="004C12AD"/>
    <w:rsid w:val="004C57A6"/>
    <w:rsid w:val="005200F3"/>
    <w:rsid w:val="005233EB"/>
    <w:rsid w:val="00524BC7"/>
    <w:rsid w:val="00544042"/>
    <w:rsid w:val="00563922"/>
    <w:rsid w:val="005D62D2"/>
    <w:rsid w:val="005F7D38"/>
    <w:rsid w:val="00604ABE"/>
    <w:rsid w:val="0068677C"/>
    <w:rsid w:val="00712C86"/>
    <w:rsid w:val="007275C4"/>
    <w:rsid w:val="007622BA"/>
    <w:rsid w:val="00787520"/>
    <w:rsid w:val="007945F7"/>
    <w:rsid w:val="00795C95"/>
    <w:rsid w:val="007D20F7"/>
    <w:rsid w:val="0080661C"/>
    <w:rsid w:val="00815E74"/>
    <w:rsid w:val="00891AE9"/>
    <w:rsid w:val="008D39A7"/>
    <w:rsid w:val="00943692"/>
    <w:rsid w:val="00954CCD"/>
    <w:rsid w:val="009610C5"/>
    <w:rsid w:val="009B1AA8"/>
    <w:rsid w:val="009B6F95"/>
    <w:rsid w:val="009E0C91"/>
    <w:rsid w:val="009F3467"/>
    <w:rsid w:val="00A20DFE"/>
    <w:rsid w:val="00A572B5"/>
    <w:rsid w:val="00A763D8"/>
    <w:rsid w:val="00A77EFF"/>
    <w:rsid w:val="00A829D1"/>
    <w:rsid w:val="00B141CE"/>
    <w:rsid w:val="00B447CD"/>
    <w:rsid w:val="00B84F31"/>
    <w:rsid w:val="00BA252F"/>
    <w:rsid w:val="00BC160F"/>
    <w:rsid w:val="00BC6C20"/>
    <w:rsid w:val="00BE4995"/>
    <w:rsid w:val="00C3265F"/>
    <w:rsid w:val="00C63788"/>
    <w:rsid w:val="00C803F3"/>
    <w:rsid w:val="00C80DD5"/>
    <w:rsid w:val="00CE4D67"/>
    <w:rsid w:val="00CF0DBB"/>
    <w:rsid w:val="00D22E70"/>
    <w:rsid w:val="00D45B4D"/>
    <w:rsid w:val="00D65433"/>
    <w:rsid w:val="00DA7394"/>
    <w:rsid w:val="00DB0942"/>
    <w:rsid w:val="00E37C8D"/>
    <w:rsid w:val="00E55474"/>
    <w:rsid w:val="00E87D75"/>
    <w:rsid w:val="00EC0649"/>
    <w:rsid w:val="00EC5D9A"/>
    <w:rsid w:val="00EF538C"/>
    <w:rsid w:val="00F43AFB"/>
    <w:rsid w:val="00F536C9"/>
    <w:rsid w:val="00F6520C"/>
    <w:rsid w:val="00FE14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C9941"/>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E37C8D"/>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rsid w:val="00E37C8D"/>
    <w:rPr>
      <w:color w:val="0000FF"/>
      <w:u w:val="single"/>
    </w:rPr>
  </w:style>
  <w:style w:type="paragraph" w:styleId="FootnoteText">
    <w:name w:val="footnote text"/>
    <w:basedOn w:val="Normal"/>
    <w:link w:val="FootnoteTextChar"/>
    <w:semiHidden/>
    <w:rsid w:val="00E37C8D"/>
    <w:pPr>
      <w:spacing w:after="0" w:line="240" w:lineRule="auto"/>
      <w:ind w:left="0" w:firstLine="0"/>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semiHidden/>
    <w:rsid w:val="00E37C8D"/>
    <w:rPr>
      <w:rFonts w:ascii="Frutiger 45 Light" w:eastAsia="Times New Roman" w:hAnsi="Frutiger 45 Light" w:cs="Times New Roman"/>
      <w:sz w:val="20"/>
      <w:szCs w:val="20"/>
      <w:lang w:eastAsia="en-US"/>
    </w:rPr>
  </w:style>
  <w:style w:type="character" w:styleId="FootnoteReference">
    <w:name w:val="footnote reference"/>
    <w:semiHidden/>
    <w:rsid w:val="00E37C8D"/>
    <w:rPr>
      <w:vertAlign w:val="superscript"/>
    </w:rPr>
  </w:style>
  <w:style w:type="table" w:customStyle="1" w:styleId="TableGrid1">
    <w:name w:val="Table Grid1"/>
    <w:basedOn w:val="TableNormal"/>
    <w:next w:val="TableGrid"/>
    <w:rsid w:val="002865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0DD5"/>
    <w:rPr>
      <w:sz w:val="16"/>
      <w:szCs w:val="16"/>
    </w:rPr>
  </w:style>
  <w:style w:type="paragraph" w:styleId="CommentText">
    <w:name w:val="annotation text"/>
    <w:basedOn w:val="Normal"/>
    <w:link w:val="CommentTextChar"/>
    <w:unhideWhenUsed/>
    <w:rsid w:val="00C80DD5"/>
    <w:pPr>
      <w:spacing w:line="240" w:lineRule="auto"/>
    </w:pPr>
    <w:rPr>
      <w:sz w:val="20"/>
      <w:szCs w:val="20"/>
    </w:rPr>
  </w:style>
  <w:style w:type="character" w:customStyle="1" w:styleId="CommentTextChar">
    <w:name w:val="Comment Text Char"/>
    <w:basedOn w:val="DefaultParagraphFont"/>
    <w:link w:val="CommentText"/>
    <w:rsid w:val="00C80DD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80DD5"/>
    <w:rPr>
      <w:b/>
      <w:bCs/>
    </w:rPr>
  </w:style>
  <w:style w:type="character" w:customStyle="1" w:styleId="CommentSubjectChar">
    <w:name w:val="Comment Subject Char"/>
    <w:basedOn w:val="CommentTextChar"/>
    <w:link w:val="CommentSubject"/>
    <w:uiPriority w:val="99"/>
    <w:semiHidden/>
    <w:rsid w:val="00C80DD5"/>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C80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D5"/>
    <w:rPr>
      <w:rFonts w:ascii="Segoe UI" w:eastAsiaTheme="minorHAnsi" w:hAnsi="Segoe UI" w:cs="Segoe UI"/>
      <w:sz w:val="18"/>
      <w:szCs w:val="18"/>
      <w:lang w:eastAsia="en-US"/>
    </w:rPr>
  </w:style>
  <w:style w:type="paragraph" w:customStyle="1" w:styleId="Default">
    <w:name w:val="Default"/>
    <w:rsid w:val="00047EE7"/>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64DA1"/>
    <w:rsid w:val="00192771"/>
    <w:rsid w:val="001C79DF"/>
    <w:rsid w:val="002A059E"/>
    <w:rsid w:val="002F1F5C"/>
    <w:rsid w:val="003E4CD0"/>
    <w:rsid w:val="004E2C7C"/>
    <w:rsid w:val="007F0E03"/>
    <w:rsid w:val="00896D7A"/>
    <w:rsid w:val="00B710F9"/>
    <w:rsid w:val="00BD4838"/>
    <w:rsid w:val="00EB2DF0"/>
    <w:rsid w:val="00EE1FE1"/>
    <w:rsid w:val="00F035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a2450aae-1d20-4711-921f-ba4e3dc97b4d"/>
    <ds:schemaRef ds:uri="http://schemas.openxmlformats.org/package/2006/metadata/core-propertie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BA4620BD</Template>
  <TotalTime>42</TotalTime>
  <Pages>6</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10</cp:revision>
  <dcterms:created xsi:type="dcterms:W3CDTF">2019-05-07T09:26:00Z</dcterms:created>
  <dcterms:modified xsi:type="dcterms:W3CDTF">2019-05-07T13:41:00Z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